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34A802C" w:rsidR="00983BC4" w:rsidRDefault="00983BC4" w:rsidP="00983BC4">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00DA542B" w:rsidRPr="00DA542B">
        <w:rPr>
          <w:b/>
          <w:i/>
          <w:noProof/>
          <w:sz w:val="28"/>
        </w:rPr>
        <w:t>R4-1804208</w:t>
      </w:r>
    </w:p>
    <w:p w14:paraId="362E9F61" w14:textId="77777777" w:rsidR="00983BC4" w:rsidRDefault="00983BC4" w:rsidP="00983BC4">
      <w:pPr>
        <w:pStyle w:val="CRCoverPage"/>
        <w:outlineLvl w:val="0"/>
        <w:rPr>
          <w:b/>
          <w:noProof/>
          <w:sz w:val="24"/>
        </w:rPr>
      </w:pPr>
      <w:r>
        <w:rPr>
          <w:b/>
          <w:noProof/>
          <w:sz w:val="24"/>
        </w:rPr>
        <w:t>Melbourne, Australia, 16 – 20 Apr,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283FFAC8"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DA542B" w:rsidRPr="00DA542B">
        <w:rPr>
          <w:rFonts w:ascii="Arial" w:hAnsi="Arial" w:cs="Arial"/>
          <w:b/>
          <w:sz w:val="24"/>
          <w:lang w:eastAsia="zh-CN"/>
        </w:rPr>
        <w:t>7.9.10.2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0A0E6380"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A369B7" w:rsidRPr="00A369B7">
        <w:rPr>
          <w:rFonts w:ascii="Arial" w:hAnsi="Arial" w:cs="Arial"/>
          <w:b/>
          <w:sz w:val="24"/>
        </w:rPr>
        <w:t>On requirement for BWP switching</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5CB0D940" w:rsidR="00983BC4" w:rsidRDefault="007F5886" w:rsidP="005D2062">
      <w:pPr>
        <w:jc w:val="both"/>
        <w:rPr>
          <w:lang w:eastAsia="zh-CN"/>
        </w:rPr>
      </w:pPr>
      <w:r>
        <w:rPr>
          <w:lang w:eastAsia="zh-CN"/>
        </w:rPr>
        <w:t>In RAN2 #101 meeting one LS was approved to send to RAN4 [1] for NR positioning</w:t>
      </w:r>
      <w:r w:rsidR="005A1DF7">
        <w:rPr>
          <w:lang w:eastAsia="zh-CN"/>
        </w:rPr>
        <w:t>.</w:t>
      </w:r>
      <w:r>
        <w:rPr>
          <w:lang w:eastAsia="zh-CN"/>
        </w:rPr>
        <w:t xml:space="preserve"> The text in the liaison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40C9C8B0" w14:textId="77777777" w:rsidR="008733DB" w:rsidRPr="008733DB" w:rsidRDefault="008733DB" w:rsidP="008733DB">
            <w:pPr>
              <w:pStyle w:val="Header"/>
              <w:snapToGrid w:val="0"/>
              <w:spacing w:before="0" w:line="240" w:lineRule="auto"/>
              <w:rPr>
                <w:rFonts w:cs="Arial"/>
                <w:b w:val="0"/>
              </w:rPr>
            </w:pPr>
            <w:r w:rsidRPr="008733DB">
              <w:rPr>
                <w:rFonts w:cs="Arial"/>
                <w:b w:val="0"/>
              </w:rPr>
              <w:t>The switching delay is described by the following:</w:t>
            </w:r>
          </w:p>
          <w:p w14:paraId="1824E4DA" w14:textId="77777777" w:rsidR="008733DB" w:rsidRPr="008733DB" w:rsidRDefault="008733DB" w:rsidP="008733DB">
            <w:pPr>
              <w:pStyle w:val="Header"/>
              <w:widowControl/>
              <w:numPr>
                <w:ilvl w:val="0"/>
                <w:numId w:val="42"/>
              </w:numPr>
              <w:overflowPunct/>
              <w:autoSpaceDE/>
              <w:autoSpaceDN/>
              <w:adjustRightInd/>
              <w:snapToGrid w:val="0"/>
              <w:spacing w:before="0" w:line="240" w:lineRule="auto"/>
              <w:textAlignment w:val="auto"/>
              <w:rPr>
                <w:rFonts w:cs="Arial"/>
                <w:b w:val="0"/>
              </w:rPr>
            </w:pPr>
            <w:r w:rsidRPr="008733DB">
              <w:rPr>
                <w:rFonts w:cs="Arial"/>
                <w:b w:val="0"/>
              </w:rPr>
              <w:t>Composed of BB processing delay and RF transition time.</w:t>
            </w:r>
          </w:p>
          <w:p w14:paraId="5A6C3BA9" w14:textId="77777777" w:rsidR="008733DB" w:rsidRPr="008733DB" w:rsidRDefault="008733DB" w:rsidP="008733DB">
            <w:pPr>
              <w:pStyle w:val="Header"/>
              <w:widowControl/>
              <w:numPr>
                <w:ilvl w:val="0"/>
                <w:numId w:val="42"/>
              </w:numPr>
              <w:overflowPunct/>
              <w:autoSpaceDE/>
              <w:autoSpaceDN/>
              <w:adjustRightInd/>
              <w:snapToGrid w:val="0"/>
              <w:spacing w:before="0" w:line="240" w:lineRule="auto"/>
              <w:textAlignment w:val="auto"/>
              <w:rPr>
                <w:rFonts w:cs="Arial"/>
                <w:b w:val="0"/>
              </w:rPr>
            </w:pPr>
            <w:r w:rsidRPr="008733DB">
              <w:rPr>
                <w:rFonts w:cs="Arial"/>
                <w:b w:val="0"/>
              </w:rPr>
              <w:t>The type 4 (per UE) capability signalling to differentiate the Type 1 and Type 2 BWP switching delays for each scenario is agreed to be introduced.</w:t>
            </w:r>
          </w:p>
          <w:p w14:paraId="0539B2A4" w14:textId="77777777" w:rsidR="008733DB" w:rsidRPr="008733DB" w:rsidRDefault="008733DB" w:rsidP="008733DB">
            <w:pPr>
              <w:pStyle w:val="Header"/>
              <w:snapToGrid w:val="0"/>
              <w:spacing w:before="0" w:line="240" w:lineRule="auto"/>
              <w:rPr>
                <w:rFonts w:cs="Arial"/>
                <w:b w:val="0"/>
              </w:rPr>
            </w:pPr>
          </w:p>
          <w:p w14:paraId="1186F4CE" w14:textId="77777777" w:rsidR="008733DB" w:rsidRPr="008733DB" w:rsidRDefault="008733DB" w:rsidP="008733DB">
            <w:pPr>
              <w:pStyle w:val="Header"/>
              <w:snapToGrid w:val="0"/>
              <w:spacing w:before="0" w:line="240" w:lineRule="auto"/>
              <w:rPr>
                <w:rFonts w:cs="Arial"/>
                <w:b w:val="0"/>
              </w:rPr>
            </w:pPr>
            <w:r w:rsidRPr="008733DB">
              <w:rPr>
                <w:rFonts w:cs="Arial"/>
                <w:b w:val="0"/>
              </w:rPr>
              <w:t>The BWP switching delay parameters are given in Table 1 below. The values are applied to both DCI-based and timer-based BWP switching.</w:t>
            </w:r>
          </w:p>
          <w:p w14:paraId="016A314C" w14:textId="77777777" w:rsidR="008733DB" w:rsidRPr="008733DB" w:rsidRDefault="008733DB" w:rsidP="008733DB">
            <w:pPr>
              <w:pStyle w:val="Header"/>
              <w:snapToGrid w:val="0"/>
              <w:spacing w:before="0" w:line="240" w:lineRule="auto"/>
              <w:rPr>
                <w:rFonts w:cs="Arial"/>
                <w:b w:val="0"/>
              </w:rPr>
            </w:pPr>
          </w:p>
          <w:p w14:paraId="61F1D566" w14:textId="77777777" w:rsidR="008733DB" w:rsidRPr="008733DB" w:rsidRDefault="008733DB" w:rsidP="008733DB">
            <w:pPr>
              <w:pStyle w:val="Caption"/>
              <w:snapToGrid w:val="0"/>
              <w:spacing w:before="0" w:after="0" w:line="240" w:lineRule="auto"/>
              <w:jc w:val="center"/>
              <w:rPr>
                <w:b w:val="0"/>
              </w:rPr>
            </w:pPr>
            <w:r w:rsidRPr="008733DB">
              <w:rPr>
                <w:b w:val="0"/>
              </w:rPr>
              <w:t xml:space="preserve">Table </w:t>
            </w:r>
            <w:r w:rsidRPr="008733DB">
              <w:rPr>
                <w:b w:val="0"/>
              </w:rPr>
              <w:fldChar w:fldCharType="begin"/>
            </w:r>
            <w:r w:rsidRPr="008733DB">
              <w:rPr>
                <w:b w:val="0"/>
              </w:rPr>
              <w:instrText xml:space="preserve"> SEQ Table \* ARABIC </w:instrText>
            </w:r>
            <w:r w:rsidRPr="008733DB">
              <w:rPr>
                <w:b w:val="0"/>
              </w:rPr>
              <w:fldChar w:fldCharType="separate"/>
            </w:r>
            <w:r w:rsidRPr="008733DB">
              <w:rPr>
                <w:b w:val="0"/>
                <w:noProof/>
              </w:rPr>
              <w:t>1</w:t>
            </w:r>
            <w:r w:rsidRPr="008733DB">
              <w:rPr>
                <w:b w:val="0"/>
              </w:rPr>
              <w:fldChar w:fldCharType="end"/>
            </w:r>
            <w:r w:rsidRPr="008733DB">
              <w:rPr>
                <w:b w:val="0"/>
              </w:rPr>
              <w:t>: BWP switching delay parameters</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1135"/>
              <w:gridCol w:w="1080"/>
              <w:gridCol w:w="1172"/>
              <w:gridCol w:w="3647"/>
            </w:tblGrid>
            <w:tr w:rsidR="008733DB" w:rsidRPr="008733DB" w14:paraId="042B850A" w14:textId="77777777" w:rsidTr="00945094">
              <w:trPr>
                <w:trHeight w:val="424"/>
                <w:jc w:val="center"/>
              </w:trPr>
              <w:tc>
                <w:tcPr>
                  <w:tcW w:w="1827" w:type="dxa"/>
                  <w:shd w:val="clear" w:color="000000" w:fill="D9D9D9"/>
                  <w:vAlign w:val="center"/>
                  <w:hideMark/>
                </w:tcPr>
                <w:p w14:paraId="15948B04" w14:textId="77777777" w:rsidR="008733DB" w:rsidRPr="008733DB" w:rsidRDefault="008733DB" w:rsidP="008733DB">
                  <w:pPr>
                    <w:snapToGrid w:val="0"/>
                    <w:spacing w:before="0" w:after="0"/>
                    <w:rPr>
                      <w:rFonts w:ascii="Arial" w:hAnsi="Arial" w:cs="Arial"/>
                      <w:bCs/>
                      <w:sz w:val="18"/>
                      <w:szCs w:val="18"/>
                      <w:lang w:val="en-US"/>
                    </w:rPr>
                  </w:pPr>
                  <w:r w:rsidRPr="008733DB">
                    <w:rPr>
                      <w:rFonts w:ascii="Arial" w:hAnsi="Arial" w:cs="Arial"/>
                      <w:bCs/>
                      <w:sz w:val="18"/>
                      <w:szCs w:val="18"/>
                      <w:lang w:val="en-US"/>
                    </w:rPr>
                    <w:t>Frequency Range</w:t>
                  </w:r>
                </w:p>
              </w:tc>
              <w:tc>
                <w:tcPr>
                  <w:tcW w:w="1135" w:type="dxa"/>
                  <w:shd w:val="clear" w:color="000000" w:fill="D9D9D9"/>
                  <w:vAlign w:val="center"/>
                  <w:hideMark/>
                </w:tcPr>
                <w:p w14:paraId="7EA5D90A" w14:textId="77777777" w:rsidR="008733DB" w:rsidRPr="008733DB" w:rsidRDefault="008733DB" w:rsidP="008733DB">
                  <w:pPr>
                    <w:snapToGrid w:val="0"/>
                    <w:spacing w:before="0" w:after="0"/>
                    <w:rPr>
                      <w:rFonts w:ascii="Arial" w:hAnsi="Arial" w:cs="Arial"/>
                      <w:bCs/>
                      <w:sz w:val="18"/>
                      <w:szCs w:val="18"/>
                      <w:lang w:val="en-US"/>
                    </w:rPr>
                  </w:pPr>
                  <w:r w:rsidRPr="008733DB">
                    <w:rPr>
                      <w:rFonts w:ascii="Arial" w:hAnsi="Arial" w:cs="Arial"/>
                      <w:bCs/>
                      <w:sz w:val="18"/>
                      <w:szCs w:val="18"/>
                      <w:lang w:val="en-US"/>
                    </w:rPr>
                    <w:t>Scenario</w:t>
                  </w:r>
                </w:p>
              </w:tc>
              <w:tc>
                <w:tcPr>
                  <w:tcW w:w="1080" w:type="dxa"/>
                  <w:shd w:val="clear" w:color="000000" w:fill="D9D9D9"/>
                  <w:vAlign w:val="center"/>
                  <w:hideMark/>
                </w:tcPr>
                <w:p w14:paraId="3B844480" w14:textId="77777777" w:rsidR="008733DB" w:rsidRPr="008733DB" w:rsidRDefault="008733DB" w:rsidP="008733DB">
                  <w:pPr>
                    <w:snapToGrid w:val="0"/>
                    <w:spacing w:before="0" w:after="0"/>
                    <w:jc w:val="center"/>
                    <w:rPr>
                      <w:rFonts w:ascii="Arial" w:hAnsi="Arial" w:cs="Arial"/>
                      <w:bCs/>
                      <w:sz w:val="18"/>
                      <w:szCs w:val="18"/>
                      <w:lang w:val="en-US"/>
                    </w:rPr>
                  </w:pPr>
                  <w:r w:rsidRPr="008733DB">
                    <w:rPr>
                      <w:rFonts w:ascii="Arial" w:hAnsi="Arial" w:cs="Arial"/>
                      <w:bCs/>
                      <w:sz w:val="18"/>
                      <w:szCs w:val="18"/>
                      <w:lang w:val="en-US"/>
                    </w:rPr>
                    <w:t>Type 1</w:t>
                  </w:r>
                </w:p>
                <w:p w14:paraId="5C44C3AE" w14:textId="77777777" w:rsidR="008733DB" w:rsidRPr="008733DB" w:rsidRDefault="008733DB" w:rsidP="008733DB">
                  <w:pPr>
                    <w:snapToGrid w:val="0"/>
                    <w:spacing w:before="0" w:after="0"/>
                    <w:jc w:val="center"/>
                    <w:rPr>
                      <w:rFonts w:ascii="Arial" w:hAnsi="Arial" w:cs="Arial"/>
                      <w:bCs/>
                      <w:sz w:val="18"/>
                      <w:szCs w:val="18"/>
                      <w:lang w:val="en-US"/>
                    </w:rPr>
                  </w:pPr>
                  <w:r w:rsidRPr="008733DB">
                    <w:rPr>
                      <w:rFonts w:ascii="Arial" w:hAnsi="Arial" w:cs="Arial"/>
                      <w:bCs/>
                      <w:sz w:val="18"/>
                      <w:szCs w:val="18"/>
                      <w:lang w:val="en-US"/>
                    </w:rPr>
                    <w:t>Delay (us)</w:t>
                  </w:r>
                </w:p>
              </w:tc>
              <w:tc>
                <w:tcPr>
                  <w:tcW w:w="1172" w:type="dxa"/>
                  <w:shd w:val="clear" w:color="000000" w:fill="D9D9D9"/>
                </w:tcPr>
                <w:p w14:paraId="5513DA9A" w14:textId="77777777" w:rsidR="008733DB" w:rsidRPr="008733DB" w:rsidRDefault="008733DB" w:rsidP="008733DB">
                  <w:pPr>
                    <w:snapToGrid w:val="0"/>
                    <w:spacing w:before="0" w:after="0"/>
                    <w:jc w:val="center"/>
                    <w:rPr>
                      <w:rFonts w:ascii="Arial" w:hAnsi="Arial" w:cs="Arial"/>
                      <w:bCs/>
                      <w:sz w:val="18"/>
                      <w:szCs w:val="18"/>
                      <w:lang w:val="en-US"/>
                    </w:rPr>
                  </w:pPr>
                  <w:r w:rsidRPr="008733DB">
                    <w:rPr>
                      <w:rFonts w:ascii="Arial" w:hAnsi="Arial" w:cs="Arial"/>
                      <w:bCs/>
                      <w:sz w:val="18"/>
                      <w:szCs w:val="18"/>
                      <w:lang w:val="en-US"/>
                    </w:rPr>
                    <w:t>Type 2</w:t>
                  </w:r>
                </w:p>
                <w:p w14:paraId="75B63177" w14:textId="77777777" w:rsidR="008733DB" w:rsidRPr="008733DB" w:rsidRDefault="008733DB" w:rsidP="008733DB">
                  <w:pPr>
                    <w:snapToGrid w:val="0"/>
                    <w:spacing w:before="0" w:after="0"/>
                    <w:jc w:val="center"/>
                    <w:rPr>
                      <w:rFonts w:ascii="Arial" w:hAnsi="Arial" w:cs="Arial"/>
                      <w:bCs/>
                      <w:sz w:val="18"/>
                      <w:szCs w:val="18"/>
                      <w:lang w:val="en-US"/>
                    </w:rPr>
                  </w:pPr>
                  <w:r w:rsidRPr="008733DB">
                    <w:rPr>
                      <w:rFonts w:ascii="Arial" w:hAnsi="Arial" w:cs="Arial"/>
                      <w:bCs/>
                      <w:sz w:val="18"/>
                      <w:szCs w:val="18"/>
                      <w:lang w:val="en-US"/>
                    </w:rPr>
                    <w:t>Delay (us)</w:t>
                  </w:r>
                </w:p>
              </w:tc>
              <w:tc>
                <w:tcPr>
                  <w:tcW w:w="3647" w:type="dxa"/>
                  <w:shd w:val="clear" w:color="000000" w:fill="D9D9D9"/>
                  <w:vAlign w:val="center"/>
                </w:tcPr>
                <w:p w14:paraId="6994952B" w14:textId="77777777" w:rsidR="008733DB" w:rsidRPr="008733DB" w:rsidRDefault="008733DB" w:rsidP="008733DB">
                  <w:pPr>
                    <w:snapToGrid w:val="0"/>
                    <w:spacing w:before="0" w:after="0"/>
                    <w:jc w:val="center"/>
                    <w:rPr>
                      <w:rFonts w:ascii="Arial" w:hAnsi="Arial" w:cs="Arial"/>
                      <w:bCs/>
                      <w:sz w:val="18"/>
                      <w:szCs w:val="18"/>
                      <w:lang w:val="en-US"/>
                    </w:rPr>
                  </w:pPr>
                  <w:r w:rsidRPr="008733DB">
                    <w:rPr>
                      <w:rFonts w:ascii="Arial" w:hAnsi="Arial" w:cs="Arial"/>
                      <w:bCs/>
                      <w:sz w:val="18"/>
                      <w:szCs w:val="18"/>
                      <w:lang w:val="en-US"/>
                    </w:rPr>
                    <w:t>Comment</w:t>
                  </w:r>
                </w:p>
              </w:tc>
            </w:tr>
            <w:tr w:rsidR="008733DB" w:rsidRPr="008733DB" w14:paraId="7017924D" w14:textId="77777777" w:rsidTr="00945094">
              <w:trPr>
                <w:trHeight w:val="20"/>
                <w:jc w:val="center"/>
              </w:trPr>
              <w:tc>
                <w:tcPr>
                  <w:tcW w:w="1827" w:type="dxa"/>
                  <w:vMerge w:val="restart"/>
                  <w:shd w:val="clear" w:color="auto" w:fill="auto"/>
                  <w:vAlign w:val="center"/>
                  <w:hideMark/>
                </w:tcPr>
                <w:p w14:paraId="149B9220"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1</w:t>
                  </w:r>
                </w:p>
              </w:tc>
              <w:tc>
                <w:tcPr>
                  <w:tcW w:w="1135" w:type="dxa"/>
                  <w:shd w:val="clear" w:color="auto" w:fill="auto"/>
                  <w:vAlign w:val="center"/>
                  <w:hideMark/>
                </w:tcPr>
                <w:p w14:paraId="2F417FA9"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1</w:t>
                  </w:r>
                </w:p>
              </w:tc>
              <w:tc>
                <w:tcPr>
                  <w:tcW w:w="1080" w:type="dxa"/>
                  <w:shd w:val="clear" w:color="auto" w:fill="auto"/>
                  <w:vAlign w:val="center"/>
                  <w:hideMark/>
                </w:tcPr>
                <w:p w14:paraId="7ECB4C69"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583F4610"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0E6FBFA3"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7782EA2A" w14:textId="77777777" w:rsidTr="00945094">
              <w:trPr>
                <w:trHeight w:val="20"/>
                <w:jc w:val="center"/>
              </w:trPr>
              <w:tc>
                <w:tcPr>
                  <w:tcW w:w="1827" w:type="dxa"/>
                  <w:vMerge/>
                  <w:vAlign w:val="center"/>
                  <w:hideMark/>
                </w:tcPr>
                <w:p w14:paraId="535475C1"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6A364899"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2</w:t>
                  </w:r>
                </w:p>
              </w:tc>
              <w:tc>
                <w:tcPr>
                  <w:tcW w:w="1080" w:type="dxa"/>
                  <w:shd w:val="clear" w:color="auto" w:fill="auto"/>
                  <w:vAlign w:val="center"/>
                  <w:hideMark/>
                </w:tcPr>
                <w:p w14:paraId="3F8C0D78"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7AED800B"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045622D5"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6441264C" w14:textId="77777777" w:rsidTr="00945094">
              <w:trPr>
                <w:trHeight w:val="20"/>
                <w:jc w:val="center"/>
              </w:trPr>
              <w:tc>
                <w:tcPr>
                  <w:tcW w:w="1827" w:type="dxa"/>
                  <w:vMerge/>
                  <w:vAlign w:val="center"/>
                  <w:hideMark/>
                </w:tcPr>
                <w:p w14:paraId="745E5493"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61DF8D67"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3</w:t>
                  </w:r>
                </w:p>
              </w:tc>
              <w:tc>
                <w:tcPr>
                  <w:tcW w:w="1080" w:type="dxa"/>
                  <w:shd w:val="clear" w:color="auto" w:fill="auto"/>
                  <w:vAlign w:val="center"/>
                  <w:hideMark/>
                </w:tcPr>
                <w:p w14:paraId="584087F3"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3EAC65D2"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76CAFC62"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348BEA0A" w14:textId="77777777" w:rsidTr="00945094">
              <w:trPr>
                <w:trHeight w:val="20"/>
                <w:jc w:val="center"/>
              </w:trPr>
              <w:tc>
                <w:tcPr>
                  <w:tcW w:w="1827" w:type="dxa"/>
                  <w:vMerge/>
                  <w:vAlign w:val="center"/>
                  <w:hideMark/>
                </w:tcPr>
                <w:p w14:paraId="326724A0"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39F4E0FF"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4</w:t>
                  </w:r>
                </w:p>
              </w:tc>
              <w:tc>
                <w:tcPr>
                  <w:tcW w:w="1080" w:type="dxa"/>
                  <w:shd w:val="clear" w:color="auto" w:fill="auto"/>
                  <w:vAlign w:val="center"/>
                  <w:hideMark/>
                </w:tcPr>
                <w:p w14:paraId="02686C6F"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400</w:t>
                  </w:r>
                </w:p>
              </w:tc>
              <w:tc>
                <w:tcPr>
                  <w:tcW w:w="1172" w:type="dxa"/>
                </w:tcPr>
                <w:p w14:paraId="7B1490F9"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950</w:t>
                  </w:r>
                </w:p>
              </w:tc>
              <w:tc>
                <w:tcPr>
                  <w:tcW w:w="3647" w:type="dxa"/>
                </w:tcPr>
                <w:p w14:paraId="5F0A9891"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No delay required from the RF perspective</w:t>
                  </w:r>
                </w:p>
              </w:tc>
            </w:tr>
            <w:tr w:rsidR="008733DB" w:rsidRPr="008733DB" w14:paraId="45754E32" w14:textId="77777777" w:rsidTr="00945094">
              <w:trPr>
                <w:trHeight w:val="20"/>
                <w:jc w:val="center"/>
              </w:trPr>
              <w:tc>
                <w:tcPr>
                  <w:tcW w:w="1827" w:type="dxa"/>
                  <w:vMerge w:val="restart"/>
                  <w:shd w:val="clear" w:color="auto" w:fill="auto"/>
                  <w:vAlign w:val="center"/>
                  <w:hideMark/>
                </w:tcPr>
                <w:p w14:paraId="769E42AB"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2</w:t>
                  </w:r>
                </w:p>
              </w:tc>
              <w:tc>
                <w:tcPr>
                  <w:tcW w:w="1135" w:type="dxa"/>
                  <w:shd w:val="clear" w:color="auto" w:fill="auto"/>
                  <w:vAlign w:val="center"/>
                  <w:hideMark/>
                </w:tcPr>
                <w:p w14:paraId="30708D70"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1</w:t>
                  </w:r>
                </w:p>
              </w:tc>
              <w:tc>
                <w:tcPr>
                  <w:tcW w:w="1080" w:type="dxa"/>
                  <w:shd w:val="clear" w:color="auto" w:fill="auto"/>
                  <w:vAlign w:val="center"/>
                  <w:hideMark/>
                </w:tcPr>
                <w:p w14:paraId="68EECA24"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2BCDB9B8"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0E5A9E3D"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60F35F4C" w14:textId="77777777" w:rsidTr="00945094">
              <w:trPr>
                <w:trHeight w:val="20"/>
                <w:jc w:val="center"/>
              </w:trPr>
              <w:tc>
                <w:tcPr>
                  <w:tcW w:w="1827" w:type="dxa"/>
                  <w:vMerge/>
                  <w:vAlign w:val="center"/>
                  <w:hideMark/>
                </w:tcPr>
                <w:p w14:paraId="4045AB4E"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4BC9B2B1"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2</w:t>
                  </w:r>
                </w:p>
              </w:tc>
              <w:tc>
                <w:tcPr>
                  <w:tcW w:w="1080" w:type="dxa"/>
                  <w:shd w:val="clear" w:color="auto" w:fill="auto"/>
                  <w:vAlign w:val="center"/>
                  <w:hideMark/>
                </w:tcPr>
                <w:p w14:paraId="13D90499"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07922253"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0C3B7B3C"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6E208D12" w14:textId="77777777" w:rsidTr="00945094">
              <w:trPr>
                <w:trHeight w:val="20"/>
                <w:jc w:val="center"/>
              </w:trPr>
              <w:tc>
                <w:tcPr>
                  <w:tcW w:w="1827" w:type="dxa"/>
                  <w:vMerge/>
                  <w:vAlign w:val="center"/>
                  <w:hideMark/>
                </w:tcPr>
                <w:p w14:paraId="739BD0C8"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3BA57142"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3</w:t>
                  </w:r>
                </w:p>
              </w:tc>
              <w:tc>
                <w:tcPr>
                  <w:tcW w:w="1080" w:type="dxa"/>
                  <w:shd w:val="clear" w:color="auto" w:fill="auto"/>
                  <w:vAlign w:val="center"/>
                  <w:hideMark/>
                </w:tcPr>
                <w:p w14:paraId="54F6BA55"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600</w:t>
                  </w:r>
                </w:p>
              </w:tc>
              <w:tc>
                <w:tcPr>
                  <w:tcW w:w="1172" w:type="dxa"/>
                </w:tcPr>
                <w:p w14:paraId="1857220D"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 xml:space="preserve"> 2000</w:t>
                  </w:r>
                </w:p>
              </w:tc>
              <w:tc>
                <w:tcPr>
                  <w:tcW w:w="3647" w:type="dxa"/>
                </w:tcPr>
                <w:p w14:paraId="61C21806" w14:textId="77777777" w:rsidR="008733DB" w:rsidRPr="008733DB" w:rsidRDefault="008733DB" w:rsidP="008733DB">
                  <w:pPr>
                    <w:snapToGrid w:val="0"/>
                    <w:spacing w:before="0" w:after="0"/>
                    <w:jc w:val="right"/>
                    <w:rPr>
                      <w:rFonts w:ascii="Arial" w:hAnsi="Arial" w:cs="Arial"/>
                      <w:sz w:val="18"/>
                      <w:szCs w:val="18"/>
                      <w:lang w:val="en-US"/>
                    </w:rPr>
                  </w:pPr>
                </w:p>
              </w:tc>
            </w:tr>
            <w:tr w:rsidR="008733DB" w:rsidRPr="008733DB" w14:paraId="37164D99" w14:textId="77777777" w:rsidTr="00945094">
              <w:trPr>
                <w:trHeight w:val="20"/>
                <w:jc w:val="center"/>
              </w:trPr>
              <w:tc>
                <w:tcPr>
                  <w:tcW w:w="1827" w:type="dxa"/>
                  <w:vMerge/>
                  <w:vAlign w:val="center"/>
                  <w:hideMark/>
                </w:tcPr>
                <w:p w14:paraId="71D0E525" w14:textId="77777777" w:rsidR="008733DB" w:rsidRPr="008733DB" w:rsidRDefault="008733DB" w:rsidP="008733DB">
                  <w:pPr>
                    <w:snapToGrid w:val="0"/>
                    <w:spacing w:before="0" w:after="0"/>
                    <w:rPr>
                      <w:rFonts w:ascii="Arial" w:hAnsi="Arial" w:cs="Arial"/>
                      <w:sz w:val="18"/>
                      <w:szCs w:val="18"/>
                      <w:lang w:val="en-US"/>
                    </w:rPr>
                  </w:pPr>
                </w:p>
              </w:tc>
              <w:tc>
                <w:tcPr>
                  <w:tcW w:w="1135" w:type="dxa"/>
                  <w:shd w:val="clear" w:color="auto" w:fill="auto"/>
                  <w:vAlign w:val="center"/>
                  <w:hideMark/>
                </w:tcPr>
                <w:p w14:paraId="75F3B526"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4</w:t>
                  </w:r>
                </w:p>
              </w:tc>
              <w:tc>
                <w:tcPr>
                  <w:tcW w:w="1080" w:type="dxa"/>
                  <w:shd w:val="clear" w:color="auto" w:fill="auto"/>
                  <w:vAlign w:val="center"/>
                  <w:hideMark/>
                </w:tcPr>
                <w:p w14:paraId="2179649F"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400</w:t>
                  </w:r>
                </w:p>
              </w:tc>
              <w:tc>
                <w:tcPr>
                  <w:tcW w:w="1172" w:type="dxa"/>
                </w:tcPr>
                <w:p w14:paraId="4915FE4E"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950</w:t>
                  </w:r>
                </w:p>
              </w:tc>
              <w:tc>
                <w:tcPr>
                  <w:tcW w:w="3647" w:type="dxa"/>
                </w:tcPr>
                <w:p w14:paraId="6BC9C84E" w14:textId="77777777" w:rsidR="008733DB" w:rsidRPr="008733DB" w:rsidRDefault="008733DB" w:rsidP="008733DB">
                  <w:pPr>
                    <w:snapToGrid w:val="0"/>
                    <w:spacing w:before="0" w:after="0"/>
                    <w:jc w:val="right"/>
                    <w:rPr>
                      <w:rFonts w:ascii="Arial" w:hAnsi="Arial" w:cs="Arial"/>
                      <w:sz w:val="18"/>
                      <w:szCs w:val="18"/>
                      <w:lang w:val="en-US"/>
                    </w:rPr>
                  </w:pPr>
                  <w:r w:rsidRPr="008733DB">
                    <w:rPr>
                      <w:rFonts w:ascii="Arial" w:hAnsi="Arial" w:cs="Arial"/>
                      <w:sz w:val="18"/>
                      <w:szCs w:val="18"/>
                      <w:lang w:val="en-US"/>
                    </w:rPr>
                    <w:t>No delay required from the RF perspective</w:t>
                  </w:r>
                </w:p>
              </w:tc>
            </w:tr>
          </w:tbl>
          <w:p w14:paraId="6DABCAC2" w14:textId="77777777" w:rsidR="008733DB" w:rsidRPr="008733DB" w:rsidRDefault="008733DB" w:rsidP="008733DB">
            <w:pPr>
              <w:pStyle w:val="Header"/>
              <w:snapToGrid w:val="0"/>
              <w:spacing w:before="0" w:line="240" w:lineRule="auto"/>
              <w:rPr>
                <w:rFonts w:cs="Arial"/>
                <w:b w:val="0"/>
              </w:rPr>
            </w:pPr>
          </w:p>
          <w:p w14:paraId="728E6F0E" w14:textId="77777777" w:rsidR="008733DB" w:rsidRPr="008733DB" w:rsidRDefault="008733DB" w:rsidP="008733DB">
            <w:pPr>
              <w:pStyle w:val="Header"/>
              <w:snapToGrid w:val="0"/>
              <w:spacing w:before="0" w:line="240" w:lineRule="auto"/>
              <w:rPr>
                <w:rFonts w:cs="Arial"/>
                <w:b w:val="0"/>
              </w:rPr>
            </w:pPr>
            <w:r w:rsidRPr="008733DB">
              <w:rPr>
                <w:rFonts w:cs="Arial"/>
                <w:b w:val="0"/>
              </w:rPr>
              <w:t>Note: the numbers in the table are calculated from the end of the last symbol including the DCI indicating the BWP switch and until BB processing delay and RF transition time has been completed.</w:t>
            </w:r>
          </w:p>
          <w:p w14:paraId="5D477295" w14:textId="77777777" w:rsidR="008733DB" w:rsidRPr="008733DB" w:rsidRDefault="008733DB" w:rsidP="008733DB">
            <w:pPr>
              <w:pStyle w:val="Header"/>
              <w:snapToGrid w:val="0"/>
              <w:spacing w:before="0" w:line="240" w:lineRule="auto"/>
              <w:rPr>
                <w:rFonts w:cs="Arial"/>
                <w:b w:val="0"/>
              </w:rPr>
            </w:pPr>
          </w:p>
          <w:p w14:paraId="190399C5" w14:textId="77777777" w:rsidR="008733DB" w:rsidRPr="008733DB" w:rsidRDefault="008733DB" w:rsidP="008733DB">
            <w:pPr>
              <w:pStyle w:val="Header"/>
              <w:snapToGrid w:val="0"/>
              <w:spacing w:before="0" w:line="240" w:lineRule="auto"/>
              <w:rPr>
                <w:rFonts w:cs="Arial"/>
                <w:b w:val="0"/>
              </w:rPr>
            </w:pPr>
            <w:r w:rsidRPr="008F3FCA">
              <w:rPr>
                <w:rFonts w:cs="Arial"/>
                <w:b w:val="0"/>
                <w:highlight w:val="green"/>
              </w:rPr>
              <w:t>Additionally, RAN4 has not finalized the discussion related to potential RRM delay following the BWP switch, possibly impacting when the UE would be able to decode PDCCH on the new BWP.</w:t>
            </w:r>
          </w:p>
          <w:p w14:paraId="0A22869C" w14:textId="1A4E16B4" w:rsidR="00B26005" w:rsidRPr="00B26005" w:rsidRDefault="00B26005" w:rsidP="000D3D22">
            <w:pPr>
              <w:pStyle w:val="Header"/>
              <w:spacing w:before="0" w:line="240" w:lineRule="auto"/>
              <w:rPr>
                <w:rFonts w:cs="Arial"/>
              </w:rPr>
            </w:pPr>
          </w:p>
        </w:tc>
      </w:tr>
    </w:tbl>
    <w:p w14:paraId="078B414C" w14:textId="7DE023FB" w:rsidR="00B26005" w:rsidRPr="0067369B" w:rsidRDefault="005D767C" w:rsidP="005D2062">
      <w:pPr>
        <w:jc w:val="both"/>
        <w:rPr>
          <w:lang w:val="en-US" w:eastAsia="zh-CN"/>
        </w:rPr>
      </w:pPr>
      <w:r>
        <w:rPr>
          <w:lang w:val="en-US" w:eastAsia="zh-CN"/>
        </w:rPr>
        <w:t xml:space="preserve">In this contribution we discuss </w:t>
      </w:r>
      <w:r w:rsidR="00782D8F">
        <w:rPr>
          <w:lang w:val="en-US" w:eastAsia="zh-CN"/>
        </w:rPr>
        <w:t>the requirement for BWP switching delay for different SCS cases</w:t>
      </w:r>
      <w:r>
        <w:rPr>
          <w:lang w:val="en-US" w:eastAsia="zh-CN"/>
        </w:rPr>
        <w:t>.</w:t>
      </w:r>
    </w:p>
    <w:p w14:paraId="21E4F90F" w14:textId="737E179B" w:rsidR="00F45216" w:rsidRPr="00A137D5" w:rsidRDefault="005D767C" w:rsidP="00F45216">
      <w:pPr>
        <w:pStyle w:val="Heading1"/>
        <w:rPr>
          <w:sz w:val="32"/>
        </w:rPr>
      </w:pPr>
      <w:r>
        <w:rPr>
          <w:sz w:val="32"/>
        </w:rPr>
        <w:t xml:space="preserve">Discussion on </w:t>
      </w:r>
      <w:r w:rsidR="00782D8F">
        <w:rPr>
          <w:sz w:val="32"/>
        </w:rPr>
        <w:t>BWP switching delay requirement</w:t>
      </w:r>
    </w:p>
    <w:p w14:paraId="4FB4BC23" w14:textId="592CEA58" w:rsidR="00782D8F" w:rsidRPr="00782D8F" w:rsidRDefault="00782D8F" w:rsidP="00782D8F">
      <w:pPr>
        <w:jc w:val="both"/>
        <w:rPr>
          <w:lang w:val="en-US" w:eastAsia="zh-CN"/>
        </w:rPr>
      </w:pPr>
      <w:r w:rsidRPr="00782D8F">
        <w:rPr>
          <w:lang w:val="en-US" w:eastAsia="zh-CN"/>
        </w:rPr>
        <w:t>As approved i</w:t>
      </w:r>
      <w:r w:rsidR="004B0ECA" w:rsidRPr="00782D8F">
        <w:rPr>
          <w:lang w:val="en-US" w:eastAsia="zh-CN"/>
        </w:rPr>
        <w:t>n</w:t>
      </w:r>
      <w:r w:rsidR="00837046" w:rsidRPr="00782D8F">
        <w:rPr>
          <w:lang w:val="en-US" w:eastAsia="zh-CN"/>
        </w:rPr>
        <w:t xml:space="preserve"> </w:t>
      </w:r>
      <w:r w:rsidRPr="00782D8F">
        <w:rPr>
          <w:lang w:val="en-US" w:eastAsia="zh-CN"/>
        </w:rPr>
        <w:t>the LS[1], RAN4 has discussed a number of aspects associated with BWP reconfiguration scenarios and the associated switching delays, which are listed as below,</w:t>
      </w:r>
    </w:p>
    <w:p w14:paraId="63A27722"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t>Scenario 1: The reconfiguration involves changing the center frequency of the BWP without changing its BW. The reconfiguration may or may not involve changing the SCS.</w:t>
      </w:r>
    </w:p>
    <w:p w14:paraId="6AC14D2F"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t>Scenario 2: The reconfiguration involves changing the BW of the BWP without changing its center frequency. The reconfiguration may or may not involve changing the SCS.</w:t>
      </w:r>
    </w:p>
    <w:p w14:paraId="14BAEB41"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t>Scenario 3: The reconfiguration involves changing both the BW and the center frequency of the BWP. The reconfiguration may or may not involve changing the SCS.</w:t>
      </w:r>
    </w:p>
    <w:p w14:paraId="61DFD4A8"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t>Scenario 4: The reconfiguration involves changing only the SCS, where the center frequency and BW of the BWP remain unchanged.</w:t>
      </w:r>
    </w:p>
    <w:p w14:paraId="62EE2C23" w14:textId="77777777" w:rsidR="00782D8F" w:rsidRPr="00782D8F" w:rsidRDefault="00782D8F" w:rsidP="00782D8F">
      <w:pPr>
        <w:pStyle w:val="Header"/>
        <w:rPr>
          <w:rFonts w:ascii="Times New Roman" w:hAnsi="Times New Roman"/>
          <w:b w:val="0"/>
          <w:noProof w:val="0"/>
          <w:sz w:val="20"/>
          <w:lang w:eastAsia="zh-CN"/>
        </w:rPr>
      </w:pPr>
    </w:p>
    <w:p w14:paraId="66202543" w14:textId="77777777" w:rsidR="00782D8F" w:rsidRPr="00782D8F" w:rsidRDefault="00782D8F" w:rsidP="00782D8F">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fldChar w:fldCharType="begin"/>
      </w:r>
      <w:r w:rsidRPr="00782D8F">
        <w:rPr>
          <w:rFonts w:ascii="Times New Roman" w:hAnsi="Times New Roman"/>
          <w:b w:val="0"/>
          <w:noProof w:val="0"/>
          <w:sz w:val="20"/>
          <w:lang w:eastAsia="zh-CN"/>
        </w:rPr>
        <w:instrText xml:space="preserve"> REF _Ref503643701 \h  \* MERGEFORMAT </w:instrText>
      </w:r>
      <w:r w:rsidRPr="00782D8F">
        <w:rPr>
          <w:rFonts w:ascii="Times New Roman" w:hAnsi="Times New Roman"/>
          <w:b w:val="0"/>
          <w:noProof w:val="0"/>
          <w:sz w:val="20"/>
          <w:lang w:eastAsia="zh-CN"/>
        </w:rPr>
      </w:r>
      <w:r w:rsidRPr="00782D8F">
        <w:rPr>
          <w:rFonts w:ascii="Times New Roman" w:hAnsi="Times New Roman"/>
          <w:b w:val="0"/>
          <w:noProof w:val="0"/>
          <w:sz w:val="20"/>
          <w:lang w:eastAsia="zh-CN"/>
        </w:rPr>
        <w:fldChar w:fldCharType="separate"/>
      </w:r>
      <w:r w:rsidRPr="00782D8F">
        <w:rPr>
          <w:rFonts w:ascii="Times New Roman" w:hAnsi="Times New Roman"/>
          <w:b w:val="0"/>
          <w:noProof w:val="0"/>
          <w:sz w:val="20"/>
          <w:lang w:eastAsia="zh-CN"/>
        </w:rPr>
        <w:t>Figure 1</w:t>
      </w:r>
      <w:r w:rsidRPr="00782D8F">
        <w:rPr>
          <w:rFonts w:ascii="Times New Roman" w:hAnsi="Times New Roman"/>
          <w:b w:val="0"/>
          <w:noProof w:val="0"/>
          <w:sz w:val="20"/>
          <w:lang w:eastAsia="zh-CN"/>
        </w:rPr>
        <w:fldChar w:fldCharType="end"/>
      </w:r>
      <w:r w:rsidRPr="00782D8F">
        <w:rPr>
          <w:rFonts w:ascii="Times New Roman" w:hAnsi="Times New Roman"/>
          <w:b w:val="0"/>
          <w:noProof w:val="0"/>
          <w:sz w:val="20"/>
          <w:lang w:eastAsia="zh-CN"/>
        </w:rPr>
        <w:t xml:space="preserve"> below illustrates the scenarios with a number of examples.</w:t>
      </w:r>
    </w:p>
    <w:p w14:paraId="7A42606A" w14:textId="77777777" w:rsidR="00782D8F" w:rsidRDefault="00782D8F" w:rsidP="00782D8F">
      <w:pPr>
        <w:pStyle w:val="Header"/>
        <w:rPr>
          <w:rFonts w:cs="Arial"/>
        </w:rPr>
      </w:pPr>
    </w:p>
    <w:p w14:paraId="5F79C3FB" w14:textId="49D9AEA5" w:rsidR="00782D8F" w:rsidRDefault="00782D8F" w:rsidP="00782D8F">
      <w:pPr>
        <w:pStyle w:val="Header"/>
        <w:keepNext/>
        <w:jc w:val="center"/>
      </w:pPr>
      <w:r w:rsidRPr="00C53DDB">
        <w:rPr>
          <w:lang w:eastAsia="zh-CN"/>
        </w:rPr>
        <w:lastRenderedPageBreak/>
        <w:drawing>
          <wp:inline distT="0" distB="0" distL="0" distR="0" wp14:anchorId="0D0DCBCD" wp14:editId="089150E9">
            <wp:extent cx="3657600" cy="190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901825"/>
                    </a:xfrm>
                    <a:prstGeom prst="rect">
                      <a:avLst/>
                    </a:prstGeom>
                    <a:noFill/>
                    <a:ln>
                      <a:noFill/>
                    </a:ln>
                  </pic:spPr>
                </pic:pic>
              </a:graphicData>
            </a:graphic>
          </wp:inline>
        </w:drawing>
      </w:r>
    </w:p>
    <w:p w14:paraId="5D606F97" w14:textId="77777777" w:rsidR="00782D8F" w:rsidRDefault="00782D8F" w:rsidP="00782D8F">
      <w:pPr>
        <w:pStyle w:val="Caption"/>
        <w:jc w:val="center"/>
        <w:rPr>
          <w:rFonts w:ascii="Arial" w:hAnsi="Arial" w:cs="Arial"/>
        </w:rPr>
      </w:pPr>
      <w:bookmarkStart w:id="2" w:name="_Ref503643701"/>
      <w:r>
        <w:t xml:space="preserve">Figure </w:t>
      </w:r>
      <w:r>
        <w:fldChar w:fldCharType="begin"/>
      </w:r>
      <w:r>
        <w:instrText xml:space="preserve"> SEQ Figure \* ARABIC </w:instrText>
      </w:r>
      <w:r>
        <w:fldChar w:fldCharType="separate"/>
      </w:r>
      <w:r>
        <w:rPr>
          <w:noProof/>
        </w:rPr>
        <w:t>1</w:t>
      </w:r>
      <w:r>
        <w:fldChar w:fldCharType="end"/>
      </w:r>
      <w:bookmarkEnd w:id="2"/>
      <w:r>
        <w:t>: Illustration of BWP reconfiguration scenarios</w:t>
      </w:r>
    </w:p>
    <w:p w14:paraId="0CB38CE4" w14:textId="77777777" w:rsidR="00782D8F" w:rsidRDefault="00782D8F" w:rsidP="00782D8F">
      <w:pPr>
        <w:pStyle w:val="Header"/>
        <w:snapToGrid w:val="0"/>
        <w:rPr>
          <w:rFonts w:cs="Arial"/>
          <w:b w:val="0"/>
        </w:rPr>
      </w:pPr>
    </w:p>
    <w:p w14:paraId="6C86D09F" w14:textId="5028A7C1" w:rsidR="00782D8F" w:rsidRPr="00782D8F" w:rsidRDefault="00782D8F" w:rsidP="00782D8F">
      <w:pPr>
        <w:pStyle w:val="Header"/>
        <w:snapToGrid w:val="0"/>
        <w:rPr>
          <w:rFonts w:ascii="Times New Roman" w:hAnsi="Times New Roman"/>
          <w:b w:val="0"/>
          <w:noProof w:val="0"/>
          <w:sz w:val="20"/>
          <w:lang w:eastAsia="zh-CN"/>
        </w:rPr>
      </w:pPr>
      <w:r w:rsidRPr="00782D8F">
        <w:rPr>
          <w:rFonts w:ascii="Times New Roman" w:hAnsi="Times New Roman"/>
          <w:b w:val="0"/>
          <w:noProof w:val="0"/>
          <w:sz w:val="20"/>
          <w:lang w:eastAsia="zh-CN"/>
        </w:rPr>
        <w:t>The switching delay is described by the following</w:t>
      </w:r>
      <w:r>
        <w:rPr>
          <w:rFonts w:ascii="Times New Roman" w:hAnsi="Times New Roman"/>
          <w:b w:val="0"/>
          <w:noProof w:val="0"/>
          <w:sz w:val="20"/>
          <w:lang w:eastAsia="zh-CN"/>
        </w:rPr>
        <w:t>, which is also illustrated in the figure 2,</w:t>
      </w:r>
    </w:p>
    <w:p w14:paraId="0AFE50A3" w14:textId="77777777" w:rsidR="00782D8F" w:rsidRPr="00782D8F" w:rsidRDefault="00782D8F" w:rsidP="00782D8F">
      <w:pPr>
        <w:pStyle w:val="Header"/>
        <w:widowControl/>
        <w:numPr>
          <w:ilvl w:val="0"/>
          <w:numId w:val="42"/>
        </w:numPr>
        <w:overflowPunct/>
        <w:autoSpaceDE/>
        <w:autoSpaceDN/>
        <w:adjustRightInd/>
        <w:snapToGrid w:val="0"/>
        <w:textAlignment w:val="auto"/>
        <w:rPr>
          <w:rFonts w:ascii="Times New Roman" w:hAnsi="Times New Roman"/>
          <w:b w:val="0"/>
          <w:noProof w:val="0"/>
          <w:sz w:val="20"/>
          <w:lang w:eastAsia="zh-CN"/>
        </w:rPr>
      </w:pPr>
      <w:r w:rsidRPr="00782D8F">
        <w:rPr>
          <w:rFonts w:ascii="Times New Roman" w:hAnsi="Times New Roman"/>
          <w:b w:val="0"/>
          <w:noProof w:val="0"/>
          <w:sz w:val="20"/>
          <w:lang w:eastAsia="zh-CN"/>
        </w:rPr>
        <w:t>Composed of BB processing delay and RF transition time.</w:t>
      </w:r>
    </w:p>
    <w:p w14:paraId="59682DD8" w14:textId="77777777" w:rsidR="00782D8F" w:rsidRPr="00782D8F" w:rsidRDefault="00782D8F" w:rsidP="00782D8F">
      <w:pPr>
        <w:pStyle w:val="Header"/>
        <w:widowControl/>
        <w:numPr>
          <w:ilvl w:val="0"/>
          <w:numId w:val="42"/>
        </w:numPr>
        <w:overflowPunct/>
        <w:autoSpaceDE/>
        <w:autoSpaceDN/>
        <w:adjustRightInd/>
        <w:snapToGrid w:val="0"/>
        <w:textAlignment w:val="auto"/>
        <w:rPr>
          <w:rFonts w:ascii="Times New Roman" w:hAnsi="Times New Roman"/>
          <w:b w:val="0"/>
          <w:noProof w:val="0"/>
          <w:sz w:val="20"/>
          <w:lang w:eastAsia="zh-CN"/>
        </w:rPr>
      </w:pPr>
      <w:r w:rsidRPr="00782D8F">
        <w:rPr>
          <w:rFonts w:ascii="Times New Roman" w:hAnsi="Times New Roman"/>
          <w:b w:val="0"/>
          <w:noProof w:val="0"/>
          <w:sz w:val="20"/>
          <w:lang w:eastAsia="zh-CN"/>
        </w:rPr>
        <w:t>The type 4 (per UE) capability signalling to differentiate the Type 1 and Type 2 BWP switching delays for each scenario is agreed to be introduced.</w:t>
      </w:r>
    </w:p>
    <w:p w14:paraId="416847B8" w14:textId="771CD1F2" w:rsidR="00782D8F" w:rsidRDefault="00782D8F" w:rsidP="00782D8F">
      <w:pPr>
        <w:pStyle w:val="ListParagraph"/>
        <w:keepNext/>
        <w:jc w:val="center"/>
      </w:pPr>
      <w:r w:rsidRPr="000321BF">
        <w:rPr>
          <w:noProof/>
          <w:lang w:eastAsia="zh-CN"/>
        </w:rPr>
        <w:drawing>
          <wp:inline distT="0" distB="0" distL="0" distR="0" wp14:anchorId="049774CB" wp14:editId="1DF5BB3D">
            <wp:extent cx="3657600" cy="175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755775"/>
                    </a:xfrm>
                    <a:prstGeom prst="rect">
                      <a:avLst/>
                    </a:prstGeom>
                    <a:noFill/>
                    <a:ln>
                      <a:noFill/>
                    </a:ln>
                  </pic:spPr>
                </pic:pic>
              </a:graphicData>
            </a:graphic>
          </wp:inline>
        </w:drawing>
      </w:r>
    </w:p>
    <w:p w14:paraId="58942B9E" w14:textId="77777777" w:rsidR="00782D8F" w:rsidRDefault="00782D8F" w:rsidP="00782D8F">
      <w:pPr>
        <w:pStyle w:val="Caption"/>
        <w:ind w:left="720"/>
        <w:jc w:val="center"/>
      </w:pPr>
      <w:bookmarkStart w:id="3" w:name="_Ref503732751"/>
      <w:r>
        <w:t xml:space="preserve">Figure </w:t>
      </w:r>
      <w:r>
        <w:fldChar w:fldCharType="begin"/>
      </w:r>
      <w:r>
        <w:instrText xml:space="preserve"> SEQ Figure \* ARABIC </w:instrText>
      </w:r>
      <w:r>
        <w:fldChar w:fldCharType="separate"/>
      </w:r>
      <w:r>
        <w:rPr>
          <w:noProof/>
        </w:rPr>
        <w:t>2</w:t>
      </w:r>
      <w:r>
        <w:fldChar w:fldCharType="end"/>
      </w:r>
      <w:bookmarkEnd w:id="3"/>
      <w:r>
        <w:t>: The anatomy of a UE’s BWP switching time</w:t>
      </w:r>
    </w:p>
    <w:p w14:paraId="6843D34B" w14:textId="0212A814" w:rsidR="00782D8F" w:rsidRDefault="00782D8F" w:rsidP="00782D8F">
      <w:pPr>
        <w:jc w:val="both"/>
        <w:rPr>
          <w:lang w:eastAsia="zh-CN"/>
        </w:rPr>
      </w:pPr>
      <w:r>
        <w:rPr>
          <w:lang w:eastAsia="zh-CN"/>
        </w:rPr>
        <w:t>Since the scheduler in NR could be able to support symbol level granularity, the BWP switching time delay</w:t>
      </w:r>
      <w:r w:rsidR="008F3FCA">
        <w:rPr>
          <w:lang w:eastAsia="zh-CN"/>
        </w:rPr>
        <w:t xml:space="preserve"> requirement</w:t>
      </w:r>
      <w:r>
        <w:rPr>
          <w:lang w:eastAsia="zh-CN"/>
        </w:rPr>
        <w:t xml:space="preserve"> shall be </w:t>
      </w:r>
      <w:r w:rsidR="008F3FCA">
        <w:rPr>
          <w:lang w:eastAsia="zh-CN"/>
        </w:rPr>
        <w:t xml:space="preserve">designed </w:t>
      </w:r>
      <w:r>
        <w:rPr>
          <w:lang w:eastAsia="zh-CN"/>
        </w:rPr>
        <w:t xml:space="preserve">also in order of symbol number rather than slot number. </w:t>
      </w:r>
      <w:r w:rsidR="008F3FCA">
        <w:rPr>
          <w:lang w:eastAsia="zh-CN"/>
        </w:rPr>
        <w:t>The time domain allocation is specified in TS38.214,</w:t>
      </w:r>
    </w:p>
    <w:tbl>
      <w:tblPr>
        <w:tblStyle w:val="TableGrid"/>
        <w:tblW w:w="0" w:type="auto"/>
        <w:tblLook w:val="04A0" w:firstRow="1" w:lastRow="0" w:firstColumn="1" w:lastColumn="0" w:noHBand="0" w:noVBand="1"/>
      </w:tblPr>
      <w:tblGrid>
        <w:gridCol w:w="9629"/>
      </w:tblGrid>
      <w:tr w:rsidR="008F3FCA" w14:paraId="6E7BC8AF" w14:textId="77777777" w:rsidTr="008F3FCA">
        <w:tc>
          <w:tcPr>
            <w:tcW w:w="9629" w:type="dxa"/>
          </w:tcPr>
          <w:p w14:paraId="0CCF7CD7" w14:textId="77777777" w:rsidR="008F3FCA" w:rsidRPr="0048482F" w:rsidRDefault="008F3FCA" w:rsidP="008F3FCA">
            <w:pPr>
              <w:pStyle w:val="Heading4"/>
              <w:numPr>
                <w:ilvl w:val="0"/>
                <w:numId w:val="0"/>
              </w:numPr>
              <w:snapToGrid w:val="0"/>
              <w:spacing w:before="0" w:after="0" w:line="240" w:lineRule="auto"/>
              <w:ind w:left="1418" w:hanging="1418"/>
              <w:outlineLvl w:val="3"/>
              <w:rPr>
                <w:color w:val="000000"/>
              </w:rPr>
            </w:pPr>
            <w:bookmarkStart w:id="4" w:name="_Toc501048160"/>
            <w:r w:rsidRPr="0048482F">
              <w:rPr>
                <w:color w:val="000000"/>
              </w:rPr>
              <w:t>5.1.2.1</w:t>
            </w:r>
            <w:r w:rsidRPr="0048482F">
              <w:rPr>
                <w:color w:val="000000"/>
              </w:rPr>
              <w:tab/>
              <w:t>Resource allocation in time domain</w:t>
            </w:r>
            <w:bookmarkEnd w:id="4"/>
          </w:p>
          <w:p w14:paraId="0EF50512" w14:textId="77777777" w:rsidR="008F3FCA" w:rsidRPr="0048482F" w:rsidRDefault="008F3FCA" w:rsidP="008F3FCA">
            <w:pPr>
              <w:snapToGrid w:val="0"/>
              <w:spacing w:before="0" w:after="0" w:line="240" w:lineRule="auto"/>
              <w:rPr>
                <w:color w:val="000000"/>
              </w:rPr>
            </w:pPr>
            <w:r w:rsidRPr="0048482F">
              <w:rPr>
                <w:color w:val="000000"/>
              </w:rPr>
              <w:t xml:space="preserve">When the UE is scheduled to receive PDSCH by a DCI, the </w:t>
            </w:r>
            <w:r w:rsidRPr="0048482F">
              <w:rPr>
                <w:i/>
                <w:color w:val="000000"/>
              </w:rPr>
              <w:t>Time-domain PDSCH</w:t>
            </w:r>
            <w:r w:rsidRPr="0048482F">
              <w:rPr>
                <w:color w:val="000000"/>
              </w:rPr>
              <w:t xml:space="preserve"> resources field of the DCI provides a row index of an RRC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14:paraId="68D04985" w14:textId="77777777" w:rsidR="008F3FCA" w:rsidRPr="0048482F" w:rsidRDefault="008F3FCA" w:rsidP="008F3FCA">
            <w:pPr>
              <w:pStyle w:val="B1"/>
              <w:snapToGrid w:val="0"/>
              <w:spacing w:before="0" w:after="0" w:line="240" w:lineRule="auto"/>
              <w:rPr>
                <w:color w:val="000000"/>
              </w:rPr>
            </w:pPr>
            <w:r w:rsidRPr="0048482F">
              <w:rPr>
                <w:color w:val="000000"/>
              </w:rPr>
              <w:t>-</w:t>
            </w:r>
            <w:r w:rsidRPr="0048482F">
              <w:rPr>
                <w:color w:val="000000"/>
              </w:rPr>
              <w:tab/>
              <w:t xml:space="preserve">The slot allocated for the PDSCH is determined by </w:t>
            </w:r>
            <w:r w:rsidRPr="0048482F">
              <w:rPr>
                <w:i/>
                <w:color w:val="000000"/>
              </w:rPr>
              <w:t>K</w:t>
            </w:r>
            <w:r w:rsidRPr="0048482F">
              <w:rPr>
                <w:i/>
                <w:color w:val="000000"/>
                <w:vertAlign w:val="subscript"/>
              </w:rPr>
              <w:t>0</w:t>
            </w:r>
            <w:r w:rsidRPr="0048482F">
              <w:rPr>
                <w:color w:val="000000"/>
              </w:rPr>
              <w:t xml:space="preserve"> of the indexed row </w:t>
            </w:r>
            <w:r w:rsidRPr="0048482F">
              <w:rPr>
                <w:i/>
                <w:color w:val="000000"/>
              </w:rPr>
              <w:t>n+K</w:t>
            </w:r>
            <w:r w:rsidRPr="0048482F">
              <w:rPr>
                <w:i/>
                <w:color w:val="000000"/>
                <w:vertAlign w:val="subscript"/>
              </w:rPr>
              <w:t>0</w:t>
            </w:r>
            <w:r w:rsidRPr="0048482F">
              <w:rPr>
                <w:color w:val="000000"/>
              </w:rPr>
              <w:t xml:space="preserve">, where </w:t>
            </w:r>
            <w:r w:rsidRPr="0048482F">
              <w:rPr>
                <w:i/>
                <w:color w:val="000000"/>
              </w:rPr>
              <w:t>n</w:t>
            </w:r>
            <w:r w:rsidRPr="0048482F">
              <w:rPr>
                <w:color w:val="000000"/>
              </w:rPr>
              <w:t xml:space="preserve"> is the slot with the scheduling DCI, </w:t>
            </w:r>
            <w:r w:rsidRPr="0048482F">
              <w:rPr>
                <w:i/>
                <w:color w:val="000000"/>
              </w:rPr>
              <w:t>K</w:t>
            </w:r>
            <w:r w:rsidRPr="0048482F">
              <w:rPr>
                <w:i/>
                <w:color w:val="000000"/>
                <w:vertAlign w:val="subscript"/>
              </w:rPr>
              <w:t>0</w:t>
            </w:r>
            <w:r w:rsidRPr="0048482F">
              <w:rPr>
                <w:color w:val="000000"/>
              </w:rPr>
              <w:t xml:space="preserve"> is based on the numerology of PDSCH, and</w:t>
            </w:r>
          </w:p>
          <w:p w14:paraId="19A1662F" w14:textId="77777777" w:rsidR="008F3FCA" w:rsidRPr="0048482F" w:rsidRDefault="008F3FCA" w:rsidP="008F3FCA">
            <w:pPr>
              <w:pStyle w:val="B1"/>
              <w:snapToGrid w:val="0"/>
              <w:spacing w:before="0" w:after="0" w:line="240" w:lineRule="auto"/>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PDSCH are determined from the start and length indicator</w:t>
            </w:r>
            <w:r w:rsidRPr="0048482F">
              <w:rPr>
                <w:i/>
                <w:color w:val="000000"/>
              </w:rPr>
              <w:t xml:space="preserve"> SLIV</w:t>
            </w:r>
            <w:r w:rsidRPr="0048482F">
              <w:rPr>
                <w:color w:val="000000"/>
              </w:rPr>
              <w:t xml:space="preserve"> of the indexed row:</w:t>
            </w:r>
          </w:p>
          <w:p w14:paraId="5FD9DE02" w14:textId="77777777" w:rsidR="008F3FCA" w:rsidRPr="0048482F" w:rsidRDefault="008F3FCA" w:rsidP="008F3FCA">
            <w:pPr>
              <w:snapToGrid w:val="0"/>
              <w:spacing w:before="0" w:after="0" w:line="240" w:lineRule="auto"/>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DCEC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5.05pt" o:ole="">
                  <v:imagedata r:id="rId14" o:title=""/>
                </v:shape>
                <o:OLEObject Type="Embed" ProgID="Equation.3" ShapeID="_x0000_i1025" DrawAspect="Content" ObjectID="_1584525058" r:id="rId15"/>
              </w:object>
            </w:r>
            <w:r w:rsidRPr="0048482F">
              <w:rPr>
                <w:color w:val="000000"/>
                <w:lang w:eastAsia="ko-KR"/>
              </w:rPr>
              <w:t xml:space="preserve"> then</w:t>
            </w:r>
          </w:p>
          <w:p w14:paraId="4426D0C3" w14:textId="77777777" w:rsidR="008F3FCA" w:rsidRPr="0048482F" w:rsidRDefault="008F3FCA" w:rsidP="008F3FCA">
            <w:pPr>
              <w:snapToGrid w:val="0"/>
              <w:spacing w:before="0" w:after="0" w:line="240" w:lineRule="auto"/>
              <w:ind w:left="1136" w:firstLine="284"/>
              <w:rPr>
                <w:color w:val="000000"/>
                <w:lang w:eastAsia="ko-KR"/>
              </w:rPr>
            </w:pPr>
            <w:r w:rsidRPr="0048482F">
              <w:rPr>
                <w:color w:val="000000"/>
                <w:position w:val="-10"/>
                <w:lang w:eastAsia="ja-JP"/>
              </w:rPr>
              <w:object w:dxaOrig="1800" w:dyaOrig="300" w14:anchorId="206B7280">
                <v:shape id="_x0000_i1026" type="#_x0000_t75" style="width:90.25pt;height:15.05pt" o:ole="">
                  <v:imagedata r:id="rId16" o:title=""/>
                </v:shape>
                <o:OLEObject Type="Embed" ProgID="Equation.3" ShapeID="_x0000_i1026" DrawAspect="Content" ObjectID="_1584525059" r:id="rId17"/>
              </w:object>
            </w:r>
          </w:p>
          <w:p w14:paraId="2023A11C" w14:textId="77777777" w:rsidR="008F3FCA" w:rsidRPr="0048482F" w:rsidRDefault="008F3FCA" w:rsidP="008F3FCA">
            <w:pPr>
              <w:snapToGrid w:val="0"/>
              <w:spacing w:before="0" w:after="0" w:line="240" w:lineRule="auto"/>
              <w:ind w:left="852" w:firstLine="284"/>
              <w:rPr>
                <w:color w:val="000000"/>
                <w:lang w:eastAsia="ko-KR"/>
              </w:rPr>
            </w:pPr>
            <w:r w:rsidRPr="0048482F">
              <w:rPr>
                <w:color w:val="000000"/>
                <w:lang w:eastAsia="ko-KR"/>
              </w:rPr>
              <w:t xml:space="preserve">else </w:t>
            </w:r>
          </w:p>
          <w:p w14:paraId="11E8619A" w14:textId="77777777" w:rsidR="008F3FCA" w:rsidRPr="0048482F" w:rsidRDefault="008F3FCA" w:rsidP="008F3FCA">
            <w:pPr>
              <w:snapToGrid w:val="0"/>
              <w:spacing w:before="0" w:after="0" w:line="240" w:lineRule="auto"/>
              <w:ind w:left="1136" w:firstLine="284"/>
              <w:rPr>
                <w:color w:val="000000"/>
                <w:lang w:eastAsia="ja-JP"/>
              </w:rPr>
            </w:pPr>
            <w:r w:rsidRPr="0048482F">
              <w:rPr>
                <w:color w:val="000000"/>
                <w:position w:val="-10"/>
                <w:lang w:eastAsia="ja-JP"/>
              </w:rPr>
              <w:object w:dxaOrig="2900" w:dyaOrig="300" w14:anchorId="551450FF">
                <v:shape id="_x0000_i1027" type="#_x0000_t75" style="width:144.55pt;height:15.05pt" o:ole="">
                  <v:imagedata r:id="rId18" o:title=""/>
                </v:shape>
                <o:OLEObject Type="Embed" ProgID="Equation.3" ShapeID="_x0000_i1027" DrawAspect="Content" ObjectID="_1584525060" r:id="rId19"/>
              </w:object>
            </w:r>
          </w:p>
          <w:p w14:paraId="1AF50DCA" w14:textId="77777777" w:rsidR="008F3FCA" w:rsidRPr="0048482F" w:rsidRDefault="008F3FCA" w:rsidP="008F3FCA">
            <w:pPr>
              <w:snapToGrid w:val="0"/>
              <w:spacing w:before="0" w:after="0" w:line="240" w:lineRule="auto"/>
              <w:ind w:left="852"/>
              <w:rPr>
                <w:color w:val="000000"/>
              </w:rPr>
            </w:pPr>
            <w:r w:rsidRPr="0048482F">
              <w:rPr>
                <w:color w:val="000000"/>
              </w:rPr>
              <w:t>where</w:t>
            </w:r>
            <w:r w:rsidRPr="0048482F">
              <w:rPr>
                <w:color w:val="000000"/>
                <w:position w:val="-6"/>
                <w:lang w:eastAsia="ja-JP"/>
              </w:rPr>
              <w:object w:dxaOrig="1180" w:dyaOrig="240" w14:anchorId="07741ED5">
                <v:shape id="_x0000_i1028" type="#_x0000_t75" style="width:58.55pt;height:11.8pt" o:ole="">
                  <v:imagedata r:id="rId20" o:title=""/>
                </v:shape>
                <o:OLEObject Type="Embed" ProgID="Equation.3" ShapeID="_x0000_i1028" DrawAspect="Content" ObjectID="_1584525061" r:id="rId21"/>
              </w:object>
            </w:r>
            <w:r w:rsidRPr="0048482F">
              <w:rPr>
                <w:color w:val="000000"/>
                <w:lang w:eastAsia="ja-JP"/>
              </w:rPr>
              <w:t>, and</w:t>
            </w:r>
          </w:p>
          <w:p w14:paraId="461EC4BE" w14:textId="77777777" w:rsidR="008F3FCA" w:rsidRPr="0048482F" w:rsidRDefault="008F3FCA" w:rsidP="008F3FCA">
            <w:pPr>
              <w:pStyle w:val="B1"/>
              <w:snapToGrid w:val="0"/>
              <w:spacing w:before="0" w:after="0" w:line="240" w:lineRule="auto"/>
              <w:rPr>
                <w:color w:val="000000"/>
              </w:rPr>
            </w:pPr>
            <w:r w:rsidRPr="0048482F">
              <w:rPr>
                <w:color w:val="000000"/>
              </w:rPr>
              <w:t>-</w:t>
            </w:r>
            <w:r w:rsidRPr="0048482F">
              <w:rPr>
                <w:color w:val="000000"/>
              </w:rPr>
              <w:tab/>
              <w:t>The PDSCH mapping type is set to Type A or Type B as defined in sub-clause 7.4.1.1.2 [4, TS 38.211] as given by the indexed row.</w:t>
            </w:r>
          </w:p>
          <w:p w14:paraId="42310AE5" w14:textId="550E4DA7" w:rsidR="008F3FCA" w:rsidRPr="008F3FCA" w:rsidRDefault="008F3FCA" w:rsidP="008F3FCA">
            <w:pPr>
              <w:snapToGrid w:val="0"/>
              <w:spacing w:before="0" w:after="0" w:line="240" w:lineRule="auto"/>
              <w:rPr>
                <w:color w:val="000000"/>
              </w:rPr>
            </w:pPr>
            <w:r w:rsidRPr="0048482F">
              <w:rPr>
                <w:color w:val="000000"/>
              </w:rPr>
              <w:t>When the UE is configured with aggregation-factor-DL &gt; 1, the same symbol allocation is applied across the aggregation-factor-DL consecutive slots not defined as UL by the slot format indication.</w:t>
            </w:r>
          </w:p>
        </w:tc>
      </w:tr>
    </w:tbl>
    <w:p w14:paraId="1C7F68B8" w14:textId="091E58E7" w:rsidR="008F3FCA" w:rsidRDefault="008F3FCA" w:rsidP="00782D8F">
      <w:pPr>
        <w:jc w:val="both"/>
        <w:rPr>
          <w:lang w:eastAsia="zh-CN"/>
        </w:rPr>
      </w:pPr>
      <w:r>
        <w:rPr>
          <w:lang w:eastAsia="zh-CN"/>
        </w:rPr>
        <w:t>So if the requirement of BWP switching delay can be defined in the order of symbol number, the network can easily decide when to schedule the PDSCH on the target BWP and doesn’t need to wait for a new slot. We propose that,</w:t>
      </w:r>
    </w:p>
    <w:p w14:paraId="31A0141C" w14:textId="1338D874" w:rsidR="008F3FCA" w:rsidRDefault="008F3FCA" w:rsidP="00782D8F">
      <w:pPr>
        <w:jc w:val="both"/>
        <w:rPr>
          <w:b/>
          <w:i/>
          <w:lang w:eastAsia="zh-CN"/>
        </w:rPr>
      </w:pPr>
      <w:r w:rsidRPr="008F3FCA">
        <w:rPr>
          <w:b/>
          <w:i/>
          <w:lang w:eastAsia="zh-CN"/>
        </w:rPr>
        <w:t>Proposal 1: the BWP switching time delay requirement shall be designed also in order of symbol number rather than slot number.</w:t>
      </w:r>
    </w:p>
    <w:p w14:paraId="423C723B" w14:textId="70381500" w:rsidR="008F3FCA" w:rsidRDefault="008F3FCA" w:rsidP="00782D8F">
      <w:pPr>
        <w:jc w:val="both"/>
        <w:rPr>
          <w:lang w:eastAsia="zh-CN"/>
        </w:rPr>
      </w:pPr>
      <w:r>
        <w:rPr>
          <w:lang w:eastAsia="zh-CN"/>
        </w:rPr>
        <w:lastRenderedPageBreak/>
        <w:t xml:space="preserve">The total BWP switching delay includes </w:t>
      </w:r>
      <w:r w:rsidRPr="00782D8F">
        <w:rPr>
          <w:lang w:eastAsia="zh-CN"/>
        </w:rPr>
        <w:t>BB processing delay and RF transition time</w:t>
      </w:r>
      <w:r>
        <w:rPr>
          <w:lang w:eastAsia="zh-CN"/>
        </w:rPr>
        <w:t xml:space="preserve">, and RF transition may introduce the interruption to the network. However, the agreement from RF room is on the total delay, and it is difficult to say how much time is for BB processing delay and how much time is for RF transition. On the other hand, different UE vendor implementation may </w:t>
      </w:r>
      <w:r w:rsidR="00D43A96">
        <w:rPr>
          <w:lang w:eastAsia="zh-CN"/>
        </w:rPr>
        <w:t>need</w:t>
      </w:r>
      <w:r>
        <w:rPr>
          <w:lang w:eastAsia="zh-CN"/>
        </w:rPr>
        <w:t xml:space="preserve"> different </w:t>
      </w:r>
      <w:r w:rsidR="00D43A96">
        <w:rPr>
          <w:lang w:eastAsia="zh-CN"/>
        </w:rPr>
        <w:t>time delay for BB processing</w:t>
      </w:r>
      <w:r w:rsidR="00283A10">
        <w:rPr>
          <w:lang w:eastAsia="zh-CN"/>
        </w:rPr>
        <w:t>.</w:t>
      </w:r>
      <w:r w:rsidR="005F31F3">
        <w:rPr>
          <w:lang w:eastAsia="zh-CN"/>
        </w:rPr>
        <w:t xml:space="preserve"> If we want to define the interruption to the network, we don’t think it is practical to separate the RF transition time from the BB processing. So the only possible way is use the total BWP switching time delay as a delay requirement in RRM spec, and it is also clear to network that within which time period network may not expect to receive or transmit anything from/to target UE (in our understanding this requirement is mainly used to </w:t>
      </w:r>
      <w:r w:rsidR="005F31F3">
        <w:rPr>
          <w:rFonts w:eastAsia="Batang"/>
        </w:rPr>
        <w:t>introduce scheduler restrictions associated with BWP switching</w:t>
      </w:r>
      <w:r w:rsidR="005F31F3">
        <w:rPr>
          <w:lang w:eastAsia="zh-CN"/>
        </w:rPr>
        <w:t>).</w:t>
      </w:r>
    </w:p>
    <w:p w14:paraId="7CE4BBA3" w14:textId="77777777" w:rsidR="00A22414" w:rsidRDefault="00A22414" w:rsidP="00782D8F">
      <w:pPr>
        <w:jc w:val="both"/>
        <w:rPr>
          <w:b/>
          <w:bCs/>
          <w:i/>
          <w:iCs/>
          <w:lang w:eastAsia="zh-CN"/>
        </w:rPr>
      </w:pPr>
      <w:r w:rsidRPr="00A22414">
        <w:rPr>
          <w:b/>
          <w:bCs/>
          <w:i/>
          <w:iCs/>
          <w:lang w:eastAsia="zh-CN"/>
        </w:rPr>
        <w:t>Proposal 2: RAN4 RRM shall specify one single BWP switching delay requirement including both BB processing delay and RF transition time</w:t>
      </w:r>
    </w:p>
    <w:p w14:paraId="044EF51B" w14:textId="6DFF4855" w:rsidR="00945094" w:rsidRDefault="00945094" w:rsidP="00782D8F">
      <w:pPr>
        <w:jc w:val="both"/>
        <w:rPr>
          <w:lang w:eastAsia="zh-CN"/>
        </w:rPr>
      </w:pPr>
      <w:r>
        <w:rPr>
          <w:lang w:eastAsia="zh-CN"/>
        </w:rPr>
        <w:t>The symbol length and CP length is specified in TS38.211, which is duplicated as below,</w:t>
      </w:r>
    </w:p>
    <w:p w14:paraId="14A206B0" w14:textId="77777777" w:rsidR="00945094" w:rsidRDefault="00945094" w:rsidP="00782D8F">
      <w:pPr>
        <w:jc w:val="both"/>
        <w:rPr>
          <w:lang w:eastAsia="zh-CN"/>
        </w:rPr>
      </w:pPr>
      <w:r w:rsidRPr="00D34CB2">
        <w:rPr>
          <w:position w:val="-64"/>
        </w:rPr>
        <w:object w:dxaOrig="5480" w:dyaOrig="1380" w14:anchorId="6643ACB9">
          <v:shape id="_x0000_i1029" type="#_x0000_t75" style="width:274.05pt;height:69.3pt" o:ole="">
            <v:imagedata r:id="rId22" o:title=""/>
          </v:shape>
          <o:OLEObject Type="Embed" ProgID="Equation.3" ShapeID="_x0000_i1029" DrawAspect="Content" ObjectID="_1584525062" r:id="rId23"/>
        </w:object>
      </w:r>
      <w:r>
        <w:rPr>
          <w:lang w:eastAsia="zh-CN"/>
        </w:rPr>
        <w:t xml:space="preserve"> </w:t>
      </w:r>
    </w:p>
    <w:p w14:paraId="3957EDC0" w14:textId="77777777" w:rsidR="00945094" w:rsidRDefault="00945094" w:rsidP="00782D8F">
      <w:pPr>
        <w:jc w:val="both"/>
        <w:rPr>
          <w:lang w:eastAsia="zh-CN"/>
        </w:rPr>
      </w:pPr>
      <w:r>
        <w:rPr>
          <w:lang w:eastAsia="zh-CN"/>
        </w:rPr>
        <w:t>In order to show the symbol and CP length in the order of “us”, the following table is provided,</w:t>
      </w:r>
    </w:p>
    <w:p w14:paraId="3573FA03" w14:textId="4C96BC71" w:rsidR="00945094" w:rsidRPr="00161F15" w:rsidRDefault="00945094" w:rsidP="00161F15">
      <w:pPr>
        <w:pStyle w:val="Caption"/>
        <w:snapToGrid w:val="0"/>
        <w:spacing w:before="0" w:after="0"/>
        <w:jc w:val="center"/>
        <w:rPr>
          <w:b w:val="0"/>
        </w:rPr>
      </w:pPr>
      <w:r>
        <w:rPr>
          <w:lang w:eastAsia="zh-CN"/>
        </w:rPr>
        <w:t xml:space="preserve"> </w:t>
      </w:r>
      <w:r w:rsidR="00161F15" w:rsidRPr="008733DB">
        <w:rPr>
          <w:b w:val="0"/>
        </w:rPr>
        <w:t xml:space="preserve">Table </w:t>
      </w:r>
      <w:r w:rsidR="00161F15">
        <w:rPr>
          <w:b w:val="0"/>
        </w:rPr>
        <w:t>2</w:t>
      </w:r>
      <w:r w:rsidR="00161F15" w:rsidRPr="008733DB">
        <w:rPr>
          <w:b w:val="0"/>
        </w:rPr>
        <w:t xml:space="preserve">: </w:t>
      </w:r>
      <w:r w:rsidR="00161F15">
        <w:rPr>
          <w:b w:val="0"/>
        </w:rPr>
        <w:t>Symbol and CP length for NR</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171"/>
        <w:gridCol w:w="1568"/>
        <w:gridCol w:w="1712"/>
        <w:gridCol w:w="1610"/>
        <w:gridCol w:w="1620"/>
      </w:tblGrid>
      <w:tr w:rsidR="00B1274E" w:rsidRPr="008733DB" w14:paraId="2A591767" w14:textId="5F446067" w:rsidTr="00B1274E">
        <w:trPr>
          <w:trHeight w:val="424"/>
          <w:jc w:val="center"/>
        </w:trPr>
        <w:tc>
          <w:tcPr>
            <w:tcW w:w="1854" w:type="dxa"/>
            <w:shd w:val="clear" w:color="000000" w:fill="D9D9D9"/>
            <w:hideMark/>
          </w:tcPr>
          <w:p w14:paraId="3D4B1437" w14:textId="77777777"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SCS</w:t>
            </w:r>
          </w:p>
        </w:tc>
        <w:tc>
          <w:tcPr>
            <w:tcW w:w="1171" w:type="dxa"/>
            <w:shd w:val="clear" w:color="000000" w:fill="D9D9D9"/>
            <w:hideMark/>
          </w:tcPr>
          <w:p w14:paraId="0BE26561" w14:textId="68F8B928"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OFDM symbol length</w:t>
            </w:r>
          </w:p>
        </w:tc>
        <w:tc>
          <w:tcPr>
            <w:tcW w:w="1568" w:type="dxa"/>
            <w:shd w:val="clear" w:color="000000" w:fill="D9D9D9"/>
          </w:tcPr>
          <w:p w14:paraId="5502033C" w14:textId="69796DA5"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712" w:type="dxa"/>
            <w:shd w:val="clear" w:color="000000" w:fill="D9D9D9"/>
          </w:tcPr>
          <w:p w14:paraId="14E126B8" w14:textId="3D007CF7" w:rsidR="00B1274E"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CP length (l≠0 or l≠7*2^(u))</w:t>
            </w:r>
          </w:p>
        </w:tc>
        <w:tc>
          <w:tcPr>
            <w:tcW w:w="1610" w:type="dxa"/>
            <w:shd w:val="clear" w:color="000000" w:fill="D9D9D9"/>
          </w:tcPr>
          <w:p w14:paraId="4942FFB8" w14:textId="080ADDA0"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c>
          <w:tcPr>
            <w:tcW w:w="1620" w:type="dxa"/>
            <w:shd w:val="clear" w:color="000000" w:fill="D9D9D9"/>
          </w:tcPr>
          <w:p w14:paraId="5D334774" w14:textId="5772AD0C" w:rsidR="00B1274E"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Total OTA symbol length (l≠0 or l≠7*2^(u))</w:t>
            </w:r>
          </w:p>
        </w:tc>
      </w:tr>
      <w:tr w:rsidR="00B1274E" w:rsidRPr="008733DB" w14:paraId="326AE962" w14:textId="134911FF" w:rsidTr="00B1274E">
        <w:trPr>
          <w:trHeight w:val="20"/>
          <w:jc w:val="center"/>
        </w:trPr>
        <w:tc>
          <w:tcPr>
            <w:tcW w:w="1854" w:type="dxa"/>
            <w:shd w:val="clear" w:color="auto" w:fill="auto"/>
            <w:hideMark/>
          </w:tcPr>
          <w:p w14:paraId="36E390ED" w14:textId="77777777"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15kHz</w:t>
            </w:r>
          </w:p>
        </w:tc>
        <w:tc>
          <w:tcPr>
            <w:tcW w:w="1171" w:type="dxa"/>
            <w:shd w:val="clear" w:color="auto" w:fill="auto"/>
            <w:hideMark/>
          </w:tcPr>
          <w:p w14:paraId="533BAB03" w14:textId="1C1112CE"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66.7us</w:t>
            </w:r>
          </w:p>
        </w:tc>
        <w:tc>
          <w:tcPr>
            <w:tcW w:w="1568" w:type="dxa"/>
          </w:tcPr>
          <w:p w14:paraId="331C86E7" w14:textId="491AF210"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5.2us</w:t>
            </w:r>
          </w:p>
        </w:tc>
        <w:tc>
          <w:tcPr>
            <w:tcW w:w="1712" w:type="dxa"/>
          </w:tcPr>
          <w:p w14:paraId="6C189244" w14:textId="391C4BFB"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4.7us</w:t>
            </w:r>
          </w:p>
        </w:tc>
        <w:tc>
          <w:tcPr>
            <w:tcW w:w="1610" w:type="dxa"/>
          </w:tcPr>
          <w:p w14:paraId="68702C93" w14:textId="4C0B57E8"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71.9us</w:t>
            </w:r>
          </w:p>
        </w:tc>
        <w:tc>
          <w:tcPr>
            <w:tcW w:w="1620" w:type="dxa"/>
          </w:tcPr>
          <w:p w14:paraId="754429D7" w14:textId="7ECE7B52"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71.4us</w:t>
            </w:r>
          </w:p>
        </w:tc>
      </w:tr>
      <w:tr w:rsidR="00B1274E" w14:paraId="739EA63E" w14:textId="530624E0" w:rsidTr="00B1274E">
        <w:trPr>
          <w:trHeight w:val="20"/>
          <w:jc w:val="center"/>
        </w:trPr>
        <w:tc>
          <w:tcPr>
            <w:tcW w:w="1854" w:type="dxa"/>
            <w:shd w:val="clear" w:color="auto" w:fill="auto"/>
          </w:tcPr>
          <w:p w14:paraId="4A88103F" w14:textId="7F665943"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30kHz</w:t>
            </w:r>
          </w:p>
        </w:tc>
        <w:tc>
          <w:tcPr>
            <w:tcW w:w="1171" w:type="dxa"/>
            <w:shd w:val="clear" w:color="auto" w:fill="auto"/>
          </w:tcPr>
          <w:p w14:paraId="60E40AD7" w14:textId="28221C95"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33.3us</w:t>
            </w:r>
          </w:p>
        </w:tc>
        <w:tc>
          <w:tcPr>
            <w:tcW w:w="1568" w:type="dxa"/>
          </w:tcPr>
          <w:p w14:paraId="2780BEA9" w14:textId="51D547E0"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2.9us</w:t>
            </w:r>
          </w:p>
        </w:tc>
        <w:tc>
          <w:tcPr>
            <w:tcW w:w="1712" w:type="dxa"/>
          </w:tcPr>
          <w:p w14:paraId="54FEA5F5" w14:textId="2D3B04BF"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2.4us</w:t>
            </w:r>
          </w:p>
        </w:tc>
        <w:tc>
          <w:tcPr>
            <w:tcW w:w="1610" w:type="dxa"/>
          </w:tcPr>
          <w:p w14:paraId="111F2A18" w14:textId="0FCCB81A"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36.2us</w:t>
            </w:r>
          </w:p>
        </w:tc>
        <w:tc>
          <w:tcPr>
            <w:tcW w:w="1620" w:type="dxa"/>
          </w:tcPr>
          <w:p w14:paraId="2DC18450" w14:textId="24C7B0AA"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35.7us</w:t>
            </w:r>
          </w:p>
        </w:tc>
      </w:tr>
      <w:tr w:rsidR="00B1274E" w:rsidRPr="008733DB" w14:paraId="7B148676" w14:textId="73FDA9DB" w:rsidTr="00B1274E">
        <w:trPr>
          <w:trHeight w:val="20"/>
          <w:jc w:val="center"/>
        </w:trPr>
        <w:tc>
          <w:tcPr>
            <w:tcW w:w="1854" w:type="dxa"/>
            <w:shd w:val="clear" w:color="auto" w:fill="auto"/>
            <w:hideMark/>
          </w:tcPr>
          <w:p w14:paraId="285C9C53" w14:textId="742DF873"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60kHz (normal CP)</w:t>
            </w:r>
          </w:p>
        </w:tc>
        <w:tc>
          <w:tcPr>
            <w:tcW w:w="1171" w:type="dxa"/>
            <w:shd w:val="clear" w:color="auto" w:fill="auto"/>
            <w:hideMark/>
          </w:tcPr>
          <w:p w14:paraId="03E5E31D" w14:textId="26B1DBBD"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2546838A" w14:textId="0CAEB5FC"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1.7us</w:t>
            </w:r>
          </w:p>
        </w:tc>
        <w:tc>
          <w:tcPr>
            <w:tcW w:w="1712" w:type="dxa"/>
          </w:tcPr>
          <w:p w14:paraId="30E70F44" w14:textId="4CC729A9"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1.2us</w:t>
            </w:r>
          </w:p>
        </w:tc>
        <w:tc>
          <w:tcPr>
            <w:tcW w:w="1610" w:type="dxa"/>
          </w:tcPr>
          <w:p w14:paraId="1D30FADC" w14:textId="511236E3"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18.4us</w:t>
            </w:r>
          </w:p>
        </w:tc>
        <w:tc>
          <w:tcPr>
            <w:tcW w:w="1620" w:type="dxa"/>
          </w:tcPr>
          <w:p w14:paraId="656A2A9F" w14:textId="556E14CA"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17.9us</w:t>
            </w:r>
          </w:p>
        </w:tc>
      </w:tr>
      <w:tr w:rsidR="00B1274E" w:rsidRPr="008733DB" w14:paraId="662F7396" w14:textId="34F1FD8A" w:rsidTr="00B1274E">
        <w:trPr>
          <w:trHeight w:val="20"/>
          <w:jc w:val="center"/>
        </w:trPr>
        <w:tc>
          <w:tcPr>
            <w:tcW w:w="1854" w:type="dxa"/>
            <w:shd w:val="clear" w:color="auto" w:fill="auto"/>
          </w:tcPr>
          <w:p w14:paraId="3D5E5BD8" w14:textId="18D6B05D"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60kHz (extended CP)</w:t>
            </w:r>
          </w:p>
        </w:tc>
        <w:tc>
          <w:tcPr>
            <w:tcW w:w="1171" w:type="dxa"/>
            <w:shd w:val="clear" w:color="auto" w:fill="auto"/>
          </w:tcPr>
          <w:p w14:paraId="67F643EF" w14:textId="24F9358F"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16.7us</w:t>
            </w:r>
          </w:p>
        </w:tc>
        <w:tc>
          <w:tcPr>
            <w:tcW w:w="1568" w:type="dxa"/>
          </w:tcPr>
          <w:p w14:paraId="6D991930" w14:textId="5C96FAD6"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4.2us</w:t>
            </w:r>
          </w:p>
        </w:tc>
        <w:tc>
          <w:tcPr>
            <w:tcW w:w="1712" w:type="dxa"/>
          </w:tcPr>
          <w:p w14:paraId="25683FD3" w14:textId="35C02E07"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4.2us</w:t>
            </w:r>
          </w:p>
        </w:tc>
        <w:tc>
          <w:tcPr>
            <w:tcW w:w="1610" w:type="dxa"/>
          </w:tcPr>
          <w:p w14:paraId="2B653F05" w14:textId="00A37A04"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20.9us</w:t>
            </w:r>
          </w:p>
        </w:tc>
        <w:tc>
          <w:tcPr>
            <w:tcW w:w="1620" w:type="dxa"/>
          </w:tcPr>
          <w:p w14:paraId="42986090" w14:textId="2066715F"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20.9us</w:t>
            </w:r>
          </w:p>
        </w:tc>
      </w:tr>
      <w:tr w:rsidR="00B1274E" w:rsidRPr="008733DB" w14:paraId="3860E464" w14:textId="6ABD4E73" w:rsidTr="00B1274E">
        <w:trPr>
          <w:trHeight w:val="20"/>
          <w:jc w:val="center"/>
        </w:trPr>
        <w:tc>
          <w:tcPr>
            <w:tcW w:w="1854" w:type="dxa"/>
            <w:shd w:val="clear" w:color="auto" w:fill="auto"/>
            <w:hideMark/>
          </w:tcPr>
          <w:p w14:paraId="5D775414" w14:textId="216BF92B"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120kHz</w:t>
            </w:r>
          </w:p>
        </w:tc>
        <w:tc>
          <w:tcPr>
            <w:tcW w:w="1171" w:type="dxa"/>
            <w:shd w:val="clear" w:color="auto" w:fill="auto"/>
            <w:hideMark/>
          </w:tcPr>
          <w:p w14:paraId="45E15CCE" w14:textId="0ACD6B7B"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8.3us</w:t>
            </w:r>
          </w:p>
        </w:tc>
        <w:tc>
          <w:tcPr>
            <w:tcW w:w="1568" w:type="dxa"/>
          </w:tcPr>
          <w:p w14:paraId="71B226FF" w14:textId="02C185D5"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1.1us</w:t>
            </w:r>
          </w:p>
        </w:tc>
        <w:tc>
          <w:tcPr>
            <w:tcW w:w="1712" w:type="dxa"/>
          </w:tcPr>
          <w:p w14:paraId="0B79E3A9" w14:textId="0DB5EACB"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0.6us</w:t>
            </w:r>
          </w:p>
        </w:tc>
        <w:tc>
          <w:tcPr>
            <w:tcW w:w="1610" w:type="dxa"/>
          </w:tcPr>
          <w:p w14:paraId="5A8EEE82" w14:textId="58F69A17"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9.4us</w:t>
            </w:r>
          </w:p>
        </w:tc>
        <w:tc>
          <w:tcPr>
            <w:tcW w:w="1620" w:type="dxa"/>
          </w:tcPr>
          <w:p w14:paraId="7B777F52" w14:textId="6D1ACD38"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8.9us</w:t>
            </w:r>
          </w:p>
        </w:tc>
      </w:tr>
    </w:tbl>
    <w:p w14:paraId="1309F70F" w14:textId="2A91C65F" w:rsidR="00945094" w:rsidRDefault="00945094" w:rsidP="00782D8F">
      <w:pPr>
        <w:jc w:val="both"/>
        <w:rPr>
          <w:lang w:eastAsia="zh-CN"/>
        </w:rPr>
      </w:pPr>
    </w:p>
    <w:p w14:paraId="415E402C" w14:textId="6B348D3A" w:rsidR="005F31F3" w:rsidRDefault="005F31F3" w:rsidP="00782D8F">
      <w:pPr>
        <w:jc w:val="both"/>
        <w:rPr>
          <w:lang w:eastAsia="zh-CN"/>
        </w:rPr>
      </w:pPr>
      <w:r w:rsidRPr="005F31F3">
        <w:rPr>
          <w:lang w:eastAsia="zh-CN"/>
        </w:rPr>
        <w:t>Based on the</w:t>
      </w:r>
      <w:r>
        <w:rPr>
          <w:lang w:eastAsia="zh-CN"/>
        </w:rPr>
        <w:t xml:space="preserve"> approved table in LS[1], the symbol numbers in the BWP switching delay requirement shall be defined as below,</w:t>
      </w:r>
    </w:p>
    <w:p w14:paraId="11490FD2" w14:textId="39AB4C2D" w:rsidR="00161F15" w:rsidRPr="00161F15" w:rsidRDefault="00161F15" w:rsidP="00161F15">
      <w:pPr>
        <w:pStyle w:val="Caption"/>
        <w:snapToGrid w:val="0"/>
        <w:spacing w:before="0" w:after="0"/>
        <w:jc w:val="center"/>
        <w:rPr>
          <w:b w:val="0"/>
        </w:rPr>
      </w:pPr>
      <w:r w:rsidRPr="008733DB">
        <w:rPr>
          <w:b w:val="0"/>
        </w:rPr>
        <w:t xml:space="preserve">Table </w:t>
      </w:r>
      <w:r>
        <w:rPr>
          <w:b w:val="0"/>
        </w:rPr>
        <w:t>3</w:t>
      </w:r>
      <w:r w:rsidRPr="008733DB">
        <w:rPr>
          <w:b w:val="0"/>
        </w:rPr>
        <w:t xml:space="preserve">: </w:t>
      </w:r>
      <w:r>
        <w:rPr>
          <w:b w:val="0"/>
        </w:rPr>
        <w:t>BWP delay requirement in symbol number</w:t>
      </w:r>
    </w:p>
    <w:tbl>
      <w:tblPr>
        <w:tblW w:w="9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187"/>
        <w:gridCol w:w="1601"/>
        <w:gridCol w:w="1334"/>
        <w:gridCol w:w="1515"/>
        <w:gridCol w:w="2251"/>
      </w:tblGrid>
      <w:tr w:rsidR="00B1274E" w:rsidRPr="008733DB" w14:paraId="20C056A8" w14:textId="77777777" w:rsidTr="00F81597">
        <w:trPr>
          <w:trHeight w:val="424"/>
          <w:jc w:val="center"/>
        </w:trPr>
        <w:tc>
          <w:tcPr>
            <w:tcW w:w="1227" w:type="dxa"/>
            <w:shd w:val="clear" w:color="000000" w:fill="D9D9D9"/>
            <w:vAlign w:val="center"/>
            <w:hideMark/>
          </w:tcPr>
          <w:p w14:paraId="74471454" w14:textId="2D1A9EBC"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SCS</w:t>
            </w:r>
          </w:p>
        </w:tc>
        <w:tc>
          <w:tcPr>
            <w:tcW w:w="1187" w:type="dxa"/>
            <w:shd w:val="clear" w:color="000000" w:fill="D9D9D9"/>
            <w:vAlign w:val="center"/>
            <w:hideMark/>
          </w:tcPr>
          <w:p w14:paraId="65E3D8B1" w14:textId="77777777" w:rsidR="00B1274E" w:rsidRPr="008733DB" w:rsidRDefault="00B1274E" w:rsidP="00B1274E">
            <w:pPr>
              <w:snapToGrid w:val="0"/>
              <w:spacing w:before="0" w:after="0"/>
              <w:rPr>
                <w:rFonts w:ascii="Arial" w:hAnsi="Arial" w:cs="Arial"/>
                <w:bCs/>
                <w:sz w:val="18"/>
                <w:szCs w:val="18"/>
                <w:lang w:val="en-US"/>
              </w:rPr>
            </w:pPr>
            <w:r w:rsidRPr="008733DB">
              <w:rPr>
                <w:rFonts w:ascii="Arial" w:hAnsi="Arial" w:cs="Arial"/>
                <w:bCs/>
                <w:sz w:val="18"/>
                <w:szCs w:val="18"/>
                <w:lang w:val="en-US"/>
              </w:rPr>
              <w:t>Type 1</w:t>
            </w:r>
          </w:p>
          <w:p w14:paraId="70FCFA01" w14:textId="77777777" w:rsidR="00B1274E" w:rsidRPr="008733DB" w:rsidRDefault="00B1274E" w:rsidP="00B1274E">
            <w:pPr>
              <w:snapToGrid w:val="0"/>
              <w:spacing w:before="0" w:after="0"/>
              <w:rPr>
                <w:rFonts w:ascii="Arial" w:hAnsi="Arial" w:cs="Arial"/>
                <w:bCs/>
                <w:sz w:val="18"/>
                <w:szCs w:val="18"/>
                <w:lang w:val="en-US"/>
              </w:rPr>
            </w:pPr>
            <w:r w:rsidRPr="008733DB">
              <w:rPr>
                <w:rFonts w:ascii="Arial" w:hAnsi="Arial" w:cs="Arial"/>
                <w:bCs/>
                <w:sz w:val="18"/>
                <w:szCs w:val="18"/>
                <w:lang w:val="en-US"/>
              </w:rPr>
              <w:t>Delay (us)</w:t>
            </w:r>
          </w:p>
        </w:tc>
        <w:tc>
          <w:tcPr>
            <w:tcW w:w="1601" w:type="dxa"/>
            <w:shd w:val="clear" w:color="000000" w:fill="D9D9D9"/>
          </w:tcPr>
          <w:p w14:paraId="681D92AE" w14:textId="48F01C1E" w:rsidR="00B1274E" w:rsidRPr="008733DB"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Type 1 delay in Symbol number</w:t>
            </w:r>
            <w:r w:rsidR="00855762">
              <w:rPr>
                <w:rFonts w:ascii="Arial" w:hAnsi="Arial" w:cs="Arial"/>
                <w:bCs/>
                <w:sz w:val="18"/>
                <w:szCs w:val="18"/>
                <w:lang w:val="en-US"/>
              </w:rPr>
              <w:t xml:space="preserve"> (K)</w:t>
            </w:r>
          </w:p>
        </w:tc>
        <w:tc>
          <w:tcPr>
            <w:tcW w:w="1334" w:type="dxa"/>
            <w:shd w:val="clear" w:color="000000" w:fill="D9D9D9"/>
          </w:tcPr>
          <w:p w14:paraId="340FF44C" w14:textId="088B6E92" w:rsidR="00B1274E" w:rsidRPr="008733DB" w:rsidRDefault="00B1274E" w:rsidP="00B1274E">
            <w:pPr>
              <w:snapToGrid w:val="0"/>
              <w:spacing w:before="0" w:after="0"/>
              <w:rPr>
                <w:rFonts w:ascii="Arial" w:hAnsi="Arial" w:cs="Arial"/>
                <w:bCs/>
                <w:sz w:val="18"/>
                <w:szCs w:val="18"/>
                <w:lang w:val="en-US"/>
              </w:rPr>
            </w:pPr>
            <w:r w:rsidRPr="008733DB">
              <w:rPr>
                <w:rFonts w:ascii="Arial" w:hAnsi="Arial" w:cs="Arial"/>
                <w:bCs/>
                <w:sz w:val="18"/>
                <w:szCs w:val="18"/>
                <w:lang w:val="en-US"/>
              </w:rPr>
              <w:t>Type 2</w:t>
            </w:r>
          </w:p>
          <w:p w14:paraId="631BCBDE" w14:textId="77777777" w:rsidR="00B1274E" w:rsidRPr="008733DB" w:rsidRDefault="00B1274E" w:rsidP="00B1274E">
            <w:pPr>
              <w:snapToGrid w:val="0"/>
              <w:spacing w:before="0" w:after="0"/>
              <w:rPr>
                <w:rFonts w:ascii="Arial" w:hAnsi="Arial" w:cs="Arial"/>
                <w:bCs/>
                <w:sz w:val="18"/>
                <w:szCs w:val="18"/>
                <w:lang w:val="en-US"/>
              </w:rPr>
            </w:pPr>
            <w:r w:rsidRPr="008733DB">
              <w:rPr>
                <w:rFonts w:ascii="Arial" w:hAnsi="Arial" w:cs="Arial"/>
                <w:bCs/>
                <w:sz w:val="18"/>
                <w:szCs w:val="18"/>
                <w:lang w:val="en-US"/>
              </w:rPr>
              <w:t>Delay (us)</w:t>
            </w:r>
          </w:p>
        </w:tc>
        <w:tc>
          <w:tcPr>
            <w:tcW w:w="1515" w:type="dxa"/>
            <w:shd w:val="clear" w:color="000000" w:fill="D9D9D9"/>
          </w:tcPr>
          <w:p w14:paraId="3E7373BB" w14:textId="77777777" w:rsidR="00B1274E" w:rsidRDefault="00B1274E" w:rsidP="00B1274E">
            <w:pPr>
              <w:snapToGrid w:val="0"/>
              <w:spacing w:before="0" w:after="0"/>
              <w:rPr>
                <w:rFonts w:ascii="Arial" w:hAnsi="Arial" w:cs="Arial"/>
                <w:bCs/>
                <w:sz w:val="18"/>
                <w:szCs w:val="18"/>
                <w:lang w:val="en-US"/>
              </w:rPr>
            </w:pPr>
            <w:r>
              <w:rPr>
                <w:rFonts w:ascii="Arial" w:hAnsi="Arial" w:cs="Arial"/>
                <w:bCs/>
                <w:sz w:val="18"/>
                <w:szCs w:val="18"/>
                <w:lang w:val="en-US"/>
              </w:rPr>
              <w:t>Type 2 delay in Symbol number</w:t>
            </w:r>
          </w:p>
          <w:p w14:paraId="41E6E30C" w14:textId="253E5D6A" w:rsidR="00855762" w:rsidRPr="008733DB" w:rsidRDefault="00855762" w:rsidP="00B1274E">
            <w:pPr>
              <w:snapToGrid w:val="0"/>
              <w:spacing w:before="0" w:after="0"/>
              <w:rPr>
                <w:rFonts w:ascii="Arial" w:hAnsi="Arial" w:cs="Arial"/>
                <w:bCs/>
                <w:sz w:val="18"/>
                <w:szCs w:val="18"/>
                <w:lang w:val="en-US"/>
              </w:rPr>
            </w:pPr>
            <w:r>
              <w:rPr>
                <w:rFonts w:ascii="Arial" w:hAnsi="Arial" w:cs="Arial"/>
                <w:bCs/>
                <w:sz w:val="18"/>
                <w:szCs w:val="18"/>
                <w:lang w:val="en-US"/>
              </w:rPr>
              <w:t>(K)</w:t>
            </w:r>
          </w:p>
        </w:tc>
        <w:tc>
          <w:tcPr>
            <w:tcW w:w="2251" w:type="dxa"/>
            <w:shd w:val="clear" w:color="000000" w:fill="D9D9D9"/>
            <w:vAlign w:val="center"/>
          </w:tcPr>
          <w:p w14:paraId="3C68EFB2" w14:textId="605F44FF" w:rsidR="00B1274E" w:rsidRPr="008733DB" w:rsidRDefault="00B1274E" w:rsidP="00B1274E">
            <w:pPr>
              <w:snapToGrid w:val="0"/>
              <w:spacing w:before="0" w:after="0"/>
              <w:rPr>
                <w:rFonts w:ascii="Arial" w:hAnsi="Arial" w:cs="Arial"/>
                <w:bCs/>
                <w:sz w:val="18"/>
                <w:szCs w:val="18"/>
                <w:lang w:val="en-US"/>
              </w:rPr>
            </w:pPr>
            <w:r w:rsidRPr="008733DB">
              <w:rPr>
                <w:rFonts w:ascii="Arial" w:hAnsi="Arial" w:cs="Arial"/>
                <w:bCs/>
                <w:sz w:val="18"/>
                <w:szCs w:val="18"/>
                <w:lang w:val="en-US"/>
              </w:rPr>
              <w:t>Comment</w:t>
            </w:r>
          </w:p>
        </w:tc>
      </w:tr>
      <w:tr w:rsidR="00B1274E" w:rsidRPr="008733DB" w14:paraId="0AD1E3C2" w14:textId="77777777" w:rsidTr="0062653C">
        <w:trPr>
          <w:trHeight w:val="20"/>
          <w:jc w:val="center"/>
        </w:trPr>
        <w:tc>
          <w:tcPr>
            <w:tcW w:w="1227" w:type="dxa"/>
            <w:vMerge w:val="restart"/>
            <w:shd w:val="clear" w:color="auto" w:fill="auto"/>
            <w:vAlign w:val="center"/>
            <w:hideMark/>
          </w:tcPr>
          <w:p w14:paraId="7CBA584F" w14:textId="5AACB73E"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15kHz</w:t>
            </w:r>
          </w:p>
        </w:tc>
        <w:tc>
          <w:tcPr>
            <w:tcW w:w="1187" w:type="dxa"/>
            <w:shd w:val="clear" w:color="auto" w:fill="auto"/>
            <w:vAlign w:val="center"/>
            <w:hideMark/>
          </w:tcPr>
          <w:p w14:paraId="13DADB6B" w14:textId="77777777"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600</w:t>
            </w:r>
          </w:p>
        </w:tc>
        <w:tc>
          <w:tcPr>
            <w:tcW w:w="1601" w:type="dxa"/>
          </w:tcPr>
          <w:p w14:paraId="44C0D899" w14:textId="65D7FB15"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9</w:t>
            </w:r>
          </w:p>
        </w:tc>
        <w:tc>
          <w:tcPr>
            <w:tcW w:w="1334" w:type="dxa"/>
          </w:tcPr>
          <w:p w14:paraId="4E205024" w14:textId="51910D87"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2000</w:t>
            </w:r>
          </w:p>
        </w:tc>
        <w:tc>
          <w:tcPr>
            <w:tcW w:w="1515" w:type="dxa"/>
          </w:tcPr>
          <w:p w14:paraId="2C51A60E" w14:textId="6A62EF53"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28</w:t>
            </w:r>
          </w:p>
        </w:tc>
        <w:tc>
          <w:tcPr>
            <w:tcW w:w="2251" w:type="dxa"/>
          </w:tcPr>
          <w:p w14:paraId="48AF5EBA" w14:textId="51A1193A"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Scenario 1/2/3</w:t>
            </w:r>
          </w:p>
        </w:tc>
      </w:tr>
      <w:tr w:rsidR="00B1274E" w:rsidRPr="008733DB" w14:paraId="0F22EA6E" w14:textId="77777777" w:rsidTr="0062653C">
        <w:trPr>
          <w:trHeight w:val="20"/>
          <w:jc w:val="center"/>
        </w:trPr>
        <w:tc>
          <w:tcPr>
            <w:tcW w:w="1227" w:type="dxa"/>
            <w:vMerge/>
            <w:shd w:val="clear" w:color="auto" w:fill="auto"/>
            <w:vAlign w:val="center"/>
          </w:tcPr>
          <w:p w14:paraId="3BEC44D1" w14:textId="77777777" w:rsidR="00B1274E" w:rsidRDefault="00B1274E" w:rsidP="00B1274E">
            <w:pPr>
              <w:snapToGrid w:val="0"/>
              <w:spacing w:before="0" w:after="0"/>
              <w:rPr>
                <w:rFonts w:ascii="Arial" w:hAnsi="Arial" w:cs="Arial"/>
                <w:sz w:val="18"/>
                <w:szCs w:val="18"/>
                <w:lang w:val="en-US"/>
              </w:rPr>
            </w:pPr>
          </w:p>
        </w:tc>
        <w:tc>
          <w:tcPr>
            <w:tcW w:w="1187" w:type="dxa"/>
            <w:shd w:val="clear" w:color="auto" w:fill="auto"/>
            <w:vAlign w:val="center"/>
          </w:tcPr>
          <w:p w14:paraId="7218C829" w14:textId="585B3A2B"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400</w:t>
            </w:r>
          </w:p>
        </w:tc>
        <w:tc>
          <w:tcPr>
            <w:tcW w:w="1601" w:type="dxa"/>
          </w:tcPr>
          <w:p w14:paraId="482933AF" w14:textId="29C83570"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6</w:t>
            </w:r>
          </w:p>
        </w:tc>
        <w:tc>
          <w:tcPr>
            <w:tcW w:w="1334" w:type="dxa"/>
          </w:tcPr>
          <w:p w14:paraId="3BC3BC9D" w14:textId="35423648"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950</w:t>
            </w:r>
          </w:p>
        </w:tc>
        <w:tc>
          <w:tcPr>
            <w:tcW w:w="1515" w:type="dxa"/>
          </w:tcPr>
          <w:p w14:paraId="135F0ADA" w14:textId="192AB8FF"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14</w:t>
            </w:r>
          </w:p>
        </w:tc>
        <w:tc>
          <w:tcPr>
            <w:tcW w:w="2251" w:type="dxa"/>
          </w:tcPr>
          <w:p w14:paraId="5F27A647" w14:textId="535C34B6"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Scenario 4</w:t>
            </w:r>
          </w:p>
        </w:tc>
      </w:tr>
      <w:tr w:rsidR="00B1274E" w:rsidRPr="008733DB" w14:paraId="3CA4863D" w14:textId="77777777" w:rsidTr="0062653C">
        <w:trPr>
          <w:trHeight w:val="20"/>
          <w:jc w:val="center"/>
        </w:trPr>
        <w:tc>
          <w:tcPr>
            <w:tcW w:w="1227" w:type="dxa"/>
            <w:shd w:val="clear" w:color="auto" w:fill="auto"/>
            <w:vAlign w:val="center"/>
            <w:hideMark/>
          </w:tcPr>
          <w:p w14:paraId="7ED878F8" w14:textId="2863226C"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30kHz</w:t>
            </w:r>
          </w:p>
        </w:tc>
        <w:tc>
          <w:tcPr>
            <w:tcW w:w="1187" w:type="dxa"/>
            <w:shd w:val="clear" w:color="auto" w:fill="auto"/>
            <w:vAlign w:val="center"/>
            <w:hideMark/>
          </w:tcPr>
          <w:p w14:paraId="51A5CC69" w14:textId="77777777"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600</w:t>
            </w:r>
          </w:p>
        </w:tc>
        <w:tc>
          <w:tcPr>
            <w:tcW w:w="1601" w:type="dxa"/>
          </w:tcPr>
          <w:p w14:paraId="65AA9FF8" w14:textId="50B69755"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17</w:t>
            </w:r>
          </w:p>
        </w:tc>
        <w:tc>
          <w:tcPr>
            <w:tcW w:w="1334" w:type="dxa"/>
          </w:tcPr>
          <w:p w14:paraId="609FBDF8" w14:textId="6FB09E02"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2000</w:t>
            </w:r>
          </w:p>
        </w:tc>
        <w:tc>
          <w:tcPr>
            <w:tcW w:w="1515" w:type="dxa"/>
          </w:tcPr>
          <w:p w14:paraId="0F73972E" w14:textId="07D873AB" w:rsidR="00B1274E" w:rsidRPr="00161F15" w:rsidRDefault="00B1274E"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56</w:t>
            </w:r>
          </w:p>
        </w:tc>
        <w:tc>
          <w:tcPr>
            <w:tcW w:w="2251" w:type="dxa"/>
          </w:tcPr>
          <w:p w14:paraId="6B47CD86" w14:textId="37BFD1E6"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Scenario 1/2/3</w:t>
            </w:r>
          </w:p>
        </w:tc>
      </w:tr>
      <w:tr w:rsidR="00B1274E" w:rsidRPr="008733DB" w14:paraId="4477B567" w14:textId="77777777" w:rsidTr="0062653C">
        <w:trPr>
          <w:trHeight w:val="20"/>
          <w:jc w:val="center"/>
        </w:trPr>
        <w:tc>
          <w:tcPr>
            <w:tcW w:w="1227" w:type="dxa"/>
            <w:shd w:val="clear" w:color="auto" w:fill="auto"/>
            <w:vAlign w:val="center"/>
          </w:tcPr>
          <w:p w14:paraId="6AAEBB6A" w14:textId="52FFAC99" w:rsidR="00B1274E" w:rsidRDefault="00B1274E" w:rsidP="00B1274E">
            <w:pPr>
              <w:snapToGrid w:val="0"/>
              <w:spacing w:before="0" w:after="0"/>
              <w:rPr>
                <w:rFonts w:ascii="Arial" w:hAnsi="Arial" w:cs="Arial"/>
                <w:sz w:val="18"/>
                <w:szCs w:val="18"/>
                <w:lang w:val="en-US"/>
              </w:rPr>
            </w:pPr>
            <w:r>
              <w:rPr>
                <w:rFonts w:ascii="Arial" w:hAnsi="Arial" w:cs="Arial"/>
                <w:sz w:val="18"/>
                <w:szCs w:val="18"/>
                <w:lang w:val="en-US"/>
              </w:rPr>
              <w:t>30kHz</w:t>
            </w:r>
          </w:p>
        </w:tc>
        <w:tc>
          <w:tcPr>
            <w:tcW w:w="1187" w:type="dxa"/>
            <w:shd w:val="clear" w:color="auto" w:fill="auto"/>
            <w:vAlign w:val="center"/>
          </w:tcPr>
          <w:p w14:paraId="4C58B1B7" w14:textId="3D1BF2CE"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400</w:t>
            </w:r>
          </w:p>
        </w:tc>
        <w:tc>
          <w:tcPr>
            <w:tcW w:w="1601" w:type="dxa"/>
          </w:tcPr>
          <w:p w14:paraId="01A69C04" w14:textId="662664F3" w:rsidR="00B1274E" w:rsidRPr="00161F15" w:rsidRDefault="00F81597"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12</w:t>
            </w:r>
          </w:p>
        </w:tc>
        <w:tc>
          <w:tcPr>
            <w:tcW w:w="1334" w:type="dxa"/>
          </w:tcPr>
          <w:p w14:paraId="6FBBF375" w14:textId="7DF2F559" w:rsidR="00B1274E" w:rsidRPr="008733DB" w:rsidRDefault="00B1274E" w:rsidP="00B1274E">
            <w:pPr>
              <w:snapToGrid w:val="0"/>
              <w:spacing w:before="0" w:after="0"/>
              <w:rPr>
                <w:rFonts w:ascii="Arial" w:hAnsi="Arial" w:cs="Arial"/>
                <w:sz w:val="18"/>
                <w:szCs w:val="18"/>
                <w:lang w:val="en-US"/>
              </w:rPr>
            </w:pPr>
            <w:r w:rsidRPr="008733DB">
              <w:rPr>
                <w:rFonts w:ascii="Arial" w:hAnsi="Arial" w:cs="Arial"/>
                <w:sz w:val="18"/>
                <w:szCs w:val="18"/>
                <w:lang w:val="en-US"/>
              </w:rPr>
              <w:t>950</w:t>
            </w:r>
          </w:p>
        </w:tc>
        <w:tc>
          <w:tcPr>
            <w:tcW w:w="1515" w:type="dxa"/>
          </w:tcPr>
          <w:p w14:paraId="1877BD94" w14:textId="69FB9A36" w:rsidR="00B1274E" w:rsidRPr="00161F15" w:rsidRDefault="00F81597" w:rsidP="00B1274E">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27</w:t>
            </w:r>
          </w:p>
        </w:tc>
        <w:tc>
          <w:tcPr>
            <w:tcW w:w="2251" w:type="dxa"/>
          </w:tcPr>
          <w:p w14:paraId="44B08F56" w14:textId="54E42D9C" w:rsidR="00B1274E" w:rsidRPr="008733DB" w:rsidRDefault="00B1274E" w:rsidP="00B1274E">
            <w:pPr>
              <w:snapToGrid w:val="0"/>
              <w:spacing w:before="0" w:after="0"/>
              <w:rPr>
                <w:rFonts w:ascii="Arial" w:hAnsi="Arial" w:cs="Arial"/>
                <w:sz w:val="18"/>
                <w:szCs w:val="18"/>
                <w:lang w:val="en-US"/>
              </w:rPr>
            </w:pPr>
            <w:r>
              <w:rPr>
                <w:rFonts w:ascii="Arial" w:hAnsi="Arial" w:cs="Arial"/>
                <w:sz w:val="18"/>
                <w:szCs w:val="18"/>
                <w:lang w:val="en-US"/>
              </w:rPr>
              <w:t>Scenario 4</w:t>
            </w:r>
          </w:p>
        </w:tc>
      </w:tr>
      <w:tr w:rsidR="00F81597" w:rsidRPr="008733DB" w14:paraId="57B83677" w14:textId="77777777" w:rsidTr="0062653C">
        <w:trPr>
          <w:trHeight w:val="20"/>
          <w:jc w:val="center"/>
        </w:trPr>
        <w:tc>
          <w:tcPr>
            <w:tcW w:w="1227" w:type="dxa"/>
            <w:shd w:val="clear" w:color="auto" w:fill="auto"/>
            <w:vAlign w:val="center"/>
            <w:hideMark/>
          </w:tcPr>
          <w:p w14:paraId="455A7C58" w14:textId="20EF0D45"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60kHz(NCP)</w:t>
            </w:r>
          </w:p>
        </w:tc>
        <w:tc>
          <w:tcPr>
            <w:tcW w:w="1187" w:type="dxa"/>
            <w:shd w:val="clear" w:color="auto" w:fill="auto"/>
            <w:vAlign w:val="center"/>
            <w:hideMark/>
          </w:tcPr>
          <w:p w14:paraId="3B610639" w14:textId="590FCBEB"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600</w:t>
            </w:r>
          </w:p>
        </w:tc>
        <w:tc>
          <w:tcPr>
            <w:tcW w:w="1601" w:type="dxa"/>
          </w:tcPr>
          <w:p w14:paraId="58F5D925" w14:textId="05149C47"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34</w:t>
            </w:r>
          </w:p>
        </w:tc>
        <w:tc>
          <w:tcPr>
            <w:tcW w:w="1334" w:type="dxa"/>
          </w:tcPr>
          <w:p w14:paraId="143892C6" w14:textId="0D0544AF"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2000</w:t>
            </w:r>
          </w:p>
        </w:tc>
        <w:tc>
          <w:tcPr>
            <w:tcW w:w="1515" w:type="dxa"/>
          </w:tcPr>
          <w:p w14:paraId="7E6B82A9" w14:textId="02F892AE"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112</w:t>
            </w:r>
          </w:p>
        </w:tc>
        <w:tc>
          <w:tcPr>
            <w:tcW w:w="2251" w:type="dxa"/>
          </w:tcPr>
          <w:p w14:paraId="59637624" w14:textId="18555A49"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Scenario 1/2/3</w:t>
            </w:r>
          </w:p>
        </w:tc>
      </w:tr>
      <w:tr w:rsidR="00F81597" w:rsidRPr="008733DB" w14:paraId="1422ED14" w14:textId="77777777" w:rsidTr="0062653C">
        <w:trPr>
          <w:trHeight w:val="20"/>
          <w:jc w:val="center"/>
        </w:trPr>
        <w:tc>
          <w:tcPr>
            <w:tcW w:w="1227" w:type="dxa"/>
            <w:shd w:val="clear" w:color="auto" w:fill="auto"/>
            <w:vAlign w:val="center"/>
          </w:tcPr>
          <w:p w14:paraId="0824A14B" w14:textId="6DEC87A0" w:rsidR="00F81597" w:rsidRDefault="00F81597" w:rsidP="00F81597">
            <w:pPr>
              <w:snapToGrid w:val="0"/>
              <w:spacing w:before="0" w:after="0"/>
              <w:rPr>
                <w:rFonts w:ascii="Arial" w:hAnsi="Arial" w:cs="Arial"/>
                <w:sz w:val="18"/>
                <w:szCs w:val="18"/>
                <w:lang w:val="en-US"/>
              </w:rPr>
            </w:pPr>
            <w:r>
              <w:rPr>
                <w:rFonts w:ascii="Arial" w:hAnsi="Arial" w:cs="Arial"/>
                <w:sz w:val="18"/>
                <w:szCs w:val="18"/>
                <w:lang w:val="en-US"/>
              </w:rPr>
              <w:t>60kHz(NCP)</w:t>
            </w:r>
          </w:p>
        </w:tc>
        <w:tc>
          <w:tcPr>
            <w:tcW w:w="1187" w:type="dxa"/>
            <w:shd w:val="clear" w:color="auto" w:fill="auto"/>
            <w:vAlign w:val="center"/>
          </w:tcPr>
          <w:p w14:paraId="004C8182" w14:textId="1D755912"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400</w:t>
            </w:r>
          </w:p>
        </w:tc>
        <w:tc>
          <w:tcPr>
            <w:tcW w:w="1601" w:type="dxa"/>
          </w:tcPr>
          <w:p w14:paraId="121101BD" w14:textId="151FD603"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23</w:t>
            </w:r>
          </w:p>
        </w:tc>
        <w:tc>
          <w:tcPr>
            <w:tcW w:w="1334" w:type="dxa"/>
          </w:tcPr>
          <w:p w14:paraId="317C7B44" w14:textId="64FA4A9B"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950</w:t>
            </w:r>
          </w:p>
        </w:tc>
        <w:tc>
          <w:tcPr>
            <w:tcW w:w="1515" w:type="dxa"/>
          </w:tcPr>
          <w:p w14:paraId="0F91AC1D" w14:textId="252AFF9C"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53</w:t>
            </w:r>
          </w:p>
        </w:tc>
        <w:tc>
          <w:tcPr>
            <w:tcW w:w="2251" w:type="dxa"/>
          </w:tcPr>
          <w:p w14:paraId="62849A5E" w14:textId="19DB9B03"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Scenario 4</w:t>
            </w:r>
          </w:p>
        </w:tc>
      </w:tr>
      <w:tr w:rsidR="00F81597" w:rsidRPr="008733DB" w14:paraId="1107BFDE" w14:textId="77777777" w:rsidTr="0062653C">
        <w:trPr>
          <w:trHeight w:val="20"/>
          <w:jc w:val="center"/>
        </w:trPr>
        <w:tc>
          <w:tcPr>
            <w:tcW w:w="1227" w:type="dxa"/>
            <w:shd w:val="clear" w:color="auto" w:fill="auto"/>
            <w:vAlign w:val="center"/>
            <w:hideMark/>
          </w:tcPr>
          <w:p w14:paraId="30DCCD1A" w14:textId="759DC56B"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60kHz(ECP)</w:t>
            </w:r>
          </w:p>
        </w:tc>
        <w:tc>
          <w:tcPr>
            <w:tcW w:w="1187" w:type="dxa"/>
            <w:shd w:val="clear" w:color="auto" w:fill="auto"/>
            <w:vAlign w:val="center"/>
            <w:hideMark/>
          </w:tcPr>
          <w:p w14:paraId="21B53956" w14:textId="21D89861"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600</w:t>
            </w:r>
          </w:p>
        </w:tc>
        <w:tc>
          <w:tcPr>
            <w:tcW w:w="1601" w:type="dxa"/>
          </w:tcPr>
          <w:p w14:paraId="6D11ED0D" w14:textId="7D9CD13D"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29</w:t>
            </w:r>
          </w:p>
        </w:tc>
        <w:tc>
          <w:tcPr>
            <w:tcW w:w="1334" w:type="dxa"/>
          </w:tcPr>
          <w:p w14:paraId="40655862" w14:textId="65419F5D"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2000</w:t>
            </w:r>
          </w:p>
        </w:tc>
        <w:tc>
          <w:tcPr>
            <w:tcW w:w="1515" w:type="dxa"/>
          </w:tcPr>
          <w:p w14:paraId="490F8988" w14:textId="041414ED"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96</w:t>
            </w:r>
          </w:p>
        </w:tc>
        <w:tc>
          <w:tcPr>
            <w:tcW w:w="2251" w:type="dxa"/>
          </w:tcPr>
          <w:p w14:paraId="0AFC6DAA" w14:textId="218B9026"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Scenario 1/2/3</w:t>
            </w:r>
          </w:p>
        </w:tc>
      </w:tr>
      <w:tr w:rsidR="00F81597" w:rsidRPr="008733DB" w14:paraId="15EE570E" w14:textId="77777777" w:rsidTr="00F81597">
        <w:trPr>
          <w:trHeight w:val="20"/>
          <w:jc w:val="center"/>
        </w:trPr>
        <w:tc>
          <w:tcPr>
            <w:tcW w:w="1227" w:type="dxa"/>
            <w:shd w:val="clear" w:color="auto" w:fill="auto"/>
            <w:vAlign w:val="center"/>
            <w:hideMark/>
          </w:tcPr>
          <w:p w14:paraId="67AC5546" w14:textId="130613DC"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60kHz(ECP)</w:t>
            </w:r>
          </w:p>
        </w:tc>
        <w:tc>
          <w:tcPr>
            <w:tcW w:w="1187" w:type="dxa"/>
            <w:shd w:val="clear" w:color="auto" w:fill="auto"/>
            <w:vAlign w:val="center"/>
            <w:hideMark/>
          </w:tcPr>
          <w:p w14:paraId="59505989" w14:textId="445E1EAB"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400</w:t>
            </w:r>
          </w:p>
        </w:tc>
        <w:tc>
          <w:tcPr>
            <w:tcW w:w="1601" w:type="dxa"/>
          </w:tcPr>
          <w:p w14:paraId="55D0804C" w14:textId="1173786E"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20</w:t>
            </w:r>
          </w:p>
        </w:tc>
        <w:tc>
          <w:tcPr>
            <w:tcW w:w="1334" w:type="dxa"/>
          </w:tcPr>
          <w:p w14:paraId="7A87C750" w14:textId="3B160790" w:rsidR="00F81597" w:rsidRPr="008733DB" w:rsidRDefault="00F81597" w:rsidP="00F81597">
            <w:pPr>
              <w:snapToGrid w:val="0"/>
              <w:spacing w:before="0" w:after="0"/>
              <w:rPr>
                <w:rFonts w:ascii="Arial" w:hAnsi="Arial" w:cs="Arial"/>
                <w:sz w:val="18"/>
                <w:szCs w:val="18"/>
                <w:lang w:val="en-US"/>
              </w:rPr>
            </w:pPr>
            <w:r w:rsidRPr="008733DB">
              <w:rPr>
                <w:rFonts w:ascii="Arial" w:hAnsi="Arial" w:cs="Arial"/>
                <w:sz w:val="18"/>
                <w:szCs w:val="18"/>
                <w:lang w:val="en-US"/>
              </w:rPr>
              <w:t>950</w:t>
            </w:r>
          </w:p>
        </w:tc>
        <w:tc>
          <w:tcPr>
            <w:tcW w:w="1515" w:type="dxa"/>
          </w:tcPr>
          <w:p w14:paraId="7142428E" w14:textId="45DBBAE2" w:rsidR="00F81597" w:rsidRPr="00161F15" w:rsidRDefault="0062653C" w:rsidP="00F81597">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46</w:t>
            </w:r>
          </w:p>
        </w:tc>
        <w:tc>
          <w:tcPr>
            <w:tcW w:w="2251" w:type="dxa"/>
          </w:tcPr>
          <w:p w14:paraId="45F65381" w14:textId="572D042A" w:rsidR="00F81597" w:rsidRPr="008733DB" w:rsidRDefault="00F81597" w:rsidP="00F81597">
            <w:pPr>
              <w:snapToGrid w:val="0"/>
              <w:spacing w:before="0" w:after="0"/>
              <w:rPr>
                <w:rFonts w:ascii="Arial" w:hAnsi="Arial" w:cs="Arial"/>
                <w:sz w:val="18"/>
                <w:szCs w:val="18"/>
                <w:lang w:val="en-US"/>
              </w:rPr>
            </w:pPr>
            <w:r>
              <w:rPr>
                <w:rFonts w:ascii="Arial" w:hAnsi="Arial" w:cs="Arial"/>
                <w:sz w:val="18"/>
                <w:szCs w:val="18"/>
                <w:lang w:val="en-US"/>
              </w:rPr>
              <w:t>Scenario 4</w:t>
            </w:r>
          </w:p>
        </w:tc>
      </w:tr>
      <w:tr w:rsidR="0062653C" w:rsidRPr="008733DB" w14:paraId="170179CF" w14:textId="77777777" w:rsidTr="00F81597">
        <w:trPr>
          <w:trHeight w:val="20"/>
          <w:jc w:val="center"/>
        </w:trPr>
        <w:tc>
          <w:tcPr>
            <w:tcW w:w="1227" w:type="dxa"/>
            <w:shd w:val="clear" w:color="auto" w:fill="auto"/>
            <w:vAlign w:val="center"/>
            <w:hideMark/>
          </w:tcPr>
          <w:p w14:paraId="397B2D3C" w14:textId="78E8B58F" w:rsidR="0062653C" w:rsidRPr="008733DB" w:rsidRDefault="0062653C" w:rsidP="0062653C">
            <w:pPr>
              <w:snapToGrid w:val="0"/>
              <w:spacing w:before="0" w:after="0"/>
              <w:rPr>
                <w:rFonts w:ascii="Arial" w:hAnsi="Arial" w:cs="Arial"/>
                <w:sz w:val="18"/>
                <w:szCs w:val="18"/>
                <w:lang w:val="en-US"/>
              </w:rPr>
            </w:pPr>
            <w:r>
              <w:rPr>
                <w:rFonts w:ascii="Arial" w:hAnsi="Arial" w:cs="Arial"/>
                <w:sz w:val="18"/>
                <w:szCs w:val="18"/>
                <w:lang w:val="en-US"/>
              </w:rPr>
              <w:t>120kHz</w:t>
            </w:r>
          </w:p>
        </w:tc>
        <w:tc>
          <w:tcPr>
            <w:tcW w:w="1187" w:type="dxa"/>
            <w:shd w:val="clear" w:color="auto" w:fill="auto"/>
            <w:vAlign w:val="center"/>
            <w:hideMark/>
          </w:tcPr>
          <w:p w14:paraId="45832BD7" w14:textId="3B005091" w:rsidR="0062653C" w:rsidRPr="008733DB" w:rsidRDefault="0062653C" w:rsidP="0062653C">
            <w:pPr>
              <w:snapToGrid w:val="0"/>
              <w:spacing w:before="0" w:after="0"/>
              <w:rPr>
                <w:rFonts w:ascii="Arial" w:hAnsi="Arial" w:cs="Arial"/>
                <w:sz w:val="18"/>
                <w:szCs w:val="18"/>
                <w:lang w:val="en-US"/>
              </w:rPr>
            </w:pPr>
            <w:r w:rsidRPr="008733DB">
              <w:rPr>
                <w:rFonts w:ascii="Arial" w:hAnsi="Arial" w:cs="Arial"/>
                <w:sz w:val="18"/>
                <w:szCs w:val="18"/>
                <w:lang w:val="en-US"/>
              </w:rPr>
              <w:t>600</w:t>
            </w:r>
          </w:p>
        </w:tc>
        <w:tc>
          <w:tcPr>
            <w:tcW w:w="1601" w:type="dxa"/>
          </w:tcPr>
          <w:p w14:paraId="5CB2C4FD" w14:textId="46CCDCD5" w:rsidR="0062653C" w:rsidRPr="00161F15" w:rsidRDefault="0062653C" w:rsidP="0062653C">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67</w:t>
            </w:r>
          </w:p>
        </w:tc>
        <w:tc>
          <w:tcPr>
            <w:tcW w:w="1334" w:type="dxa"/>
          </w:tcPr>
          <w:p w14:paraId="5435B72A" w14:textId="2C2D2ECE" w:rsidR="0062653C" w:rsidRPr="008733DB" w:rsidRDefault="0062653C" w:rsidP="0062653C">
            <w:pPr>
              <w:snapToGrid w:val="0"/>
              <w:spacing w:before="0" w:after="0"/>
              <w:rPr>
                <w:rFonts w:ascii="Arial" w:hAnsi="Arial" w:cs="Arial"/>
                <w:sz w:val="18"/>
                <w:szCs w:val="18"/>
                <w:lang w:val="en-US"/>
              </w:rPr>
            </w:pPr>
            <w:r w:rsidRPr="008733DB">
              <w:rPr>
                <w:rFonts w:ascii="Arial" w:hAnsi="Arial" w:cs="Arial"/>
                <w:sz w:val="18"/>
                <w:szCs w:val="18"/>
                <w:lang w:val="en-US"/>
              </w:rPr>
              <w:t>2000</w:t>
            </w:r>
          </w:p>
        </w:tc>
        <w:tc>
          <w:tcPr>
            <w:tcW w:w="1515" w:type="dxa"/>
          </w:tcPr>
          <w:p w14:paraId="22DD34A6" w14:textId="62A3140C" w:rsidR="0062653C" w:rsidRPr="00161F15" w:rsidRDefault="00161F15" w:rsidP="0062653C">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224</w:t>
            </w:r>
          </w:p>
        </w:tc>
        <w:tc>
          <w:tcPr>
            <w:tcW w:w="2251" w:type="dxa"/>
          </w:tcPr>
          <w:p w14:paraId="2BC09ADA" w14:textId="4FA3043D" w:rsidR="0062653C" w:rsidRPr="008733DB" w:rsidRDefault="0062653C" w:rsidP="0062653C">
            <w:pPr>
              <w:snapToGrid w:val="0"/>
              <w:spacing w:before="0" w:after="0"/>
              <w:rPr>
                <w:rFonts w:ascii="Arial" w:hAnsi="Arial" w:cs="Arial"/>
                <w:sz w:val="18"/>
                <w:szCs w:val="18"/>
                <w:lang w:val="en-US"/>
              </w:rPr>
            </w:pPr>
            <w:r>
              <w:rPr>
                <w:rFonts w:ascii="Arial" w:hAnsi="Arial" w:cs="Arial"/>
                <w:sz w:val="18"/>
                <w:szCs w:val="18"/>
                <w:lang w:val="en-US"/>
              </w:rPr>
              <w:t>Scenario 1/2/3</w:t>
            </w:r>
          </w:p>
        </w:tc>
      </w:tr>
      <w:tr w:rsidR="0062653C" w:rsidRPr="008733DB" w14:paraId="695BBDD6" w14:textId="77777777" w:rsidTr="00F81597">
        <w:trPr>
          <w:trHeight w:val="20"/>
          <w:jc w:val="center"/>
        </w:trPr>
        <w:tc>
          <w:tcPr>
            <w:tcW w:w="1227" w:type="dxa"/>
            <w:shd w:val="clear" w:color="auto" w:fill="auto"/>
            <w:vAlign w:val="center"/>
            <w:hideMark/>
          </w:tcPr>
          <w:p w14:paraId="67C0F5E5" w14:textId="56A7E64C" w:rsidR="0062653C" w:rsidRPr="008733DB" w:rsidRDefault="0062653C" w:rsidP="0062653C">
            <w:pPr>
              <w:snapToGrid w:val="0"/>
              <w:spacing w:before="0" w:after="0"/>
              <w:rPr>
                <w:rFonts w:ascii="Arial" w:hAnsi="Arial" w:cs="Arial"/>
                <w:sz w:val="18"/>
                <w:szCs w:val="18"/>
                <w:lang w:val="en-US"/>
              </w:rPr>
            </w:pPr>
            <w:r>
              <w:rPr>
                <w:rFonts w:ascii="Arial" w:hAnsi="Arial" w:cs="Arial"/>
                <w:sz w:val="18"/>
                <w:szCs w:val="18"/>
                <w:lang w:val="en-US"/>
              </w:rPr>
              <w:t>120kHz</w:t>
            </w:r>
          </w:p>
        </w:tc>
        <w:tc>
          <w:tcPr>
            <w:tcW w:w="1187" w:type="dxa"/>
            <w:shd w:val="clear" w:color="auto" w:fill="auto"/>
            <w:vAlign w:val="center"/>
            <w:hideMark/>
          </w:tcPr>
          <w:p w14:paraId="70A62E47" w14:textId="236E06B1" w:rsidR="0062653C" w:rsidRPr="008733DB" w:rsidRDefault="0062653C" w:rsidP="0062653C">
            <w:pPr>
              <w:snapToGrid w:val="0"/>
              <w:spacing w:before="0" w:after="0"/>
              <w:rPr>
                <w:rFonts w:ascii="Arial" w:hAnsi="Arial" w:cs="Arial"/>
                <w:sz w:val="18"/>
                <w:szCs w:val="18"/>
                <w:lang w:val="en-US"/>
              </w:rPr>
            </w:pPr>
            <w:r w:rsidRPr="008733DB">
              <w:rPr>
                <w:rFonts w:ascii="Arial" w:hAnsi="Arial" w:cs="Arial"/>
                <w:sz w:val="18"/>
                <w:szCs w:val="18"/>
                <w:lang w:val="en-US"/>
              </w:rPr>
              <w:t>400</w:t>
            </w:r>
          </w:p>
        </w:tc>
        <w:tc>
          <w:tcPr>
            <w:tcW w:w="1601" w:type="dxa"/>
          </w:tcPr>
          <w:p w14:paraId="07681239" w14:textId="2544EC26" w:rsidR="0062653C" w:rsidRPr="00161F15" w:rsidRDefault="00161F15" w:rsidP="0062653C">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45</w:t>
            </w:r>
          </w:p>
        </w:tc>
        <w:tc>
          <w:tcPr>
            <w:tcW w:w="1334" w:type="dxa"/>
          </w:tcPr>
          <w:p w14:paraId="324A3CB3" w14:textId="50F91BD3" w:rsidR="0062653C" w:rsidRPr="008733DB" w:rsidRDefault="0062653C" w:rsidP="0062653C">
            <w:pPr>
              <w:snapToGrid w:val="0"/>
              <w:spacing w:before="0" w:after="0"/>
              <w:rPr>
                <w:rFonts w:ascii="Arial" w:hAnsi="Arial" w:cs="Arial"/>
                <w:sz w:val="18"/>
                <w:szCs w:val="18"/>
                <w:lang w:val="en-US"/>
              </w:rPr>
            </w:pPr>
            <w:r w:rsidRPr="008733DB">
              <w:rPr>
                <w:rFonts w:ascii="Arial" w:hAnsi="Arial" w:cs="Arial"/>
                <w:sz w:val="18"/>
                <w:szCs w:val="18"/>
                <w:lang w:val="en-US"/>
              </w:rPr>
              <w:t>950</w:t>
            </w:r>
          </w:p>
        </w:tc>
        <w:tc>
          <w:tcPr>
            <w:tcW w:w="1515" w:type="dxa"/>
          </w:tcPr>
          <w:p w14:paraId="0A277DA1" w14:textId="602434D6" w:rsidR="0062653C" w:rsidRPr="00161F15" w:rsidRDefault="00161F15" w:rsidP="0062653C">
            <w:pPr>
              <w:snapToGrid w:val="0"/>
              <w:spacing w:before="0" w:after="0"/>
              <w:rPr>
                <w:rFonts w:ascii="Arial" w:hAnsi="Arial" w:cs="Arial"/>
                <w:sz w:val="18"/>
                <w:szCs w:val="18"/>
                <w:highlight w:val="yellow"/>
                <w:lang w:val="en-US"/>
              </w:rPr>
            </w:pPr>
            <w:r w:rsidRPr="00161F15">
              <w:rPr>
                <w:rFonts w:ascii="Arial" w:hAnsi="Arial" w:cs="Arial"/>
                <w:sz w:val="18"/>
                <w:szCs w:val="18"/>
                <w:highlight w:val="yellow"/>
                <w:lang w:val="en-US"/>
              </w:rPr>
              <w:t>106</w:t>
            </w:r>
          </w:p>
        </w:tc>
        <w:tc>
          <w:tcPr>
            <w:tcW w:w="2251" w:type="dxa"/>
          </w:tcPr>
          <w:p w14:paraId="65076FDF" w14:textId="38A49B87" w:rsidR="0062653C" w:rsidRPr="008733DB" w:rsidRDefault="0062653C" w:rsidP="0062653C">
            <w:pPr>
              <w:snapToGrid w:val="0"/>
              <w:spacing w:before="0" w:after="0"/>
              <w:rPr>
                <w:rFonts w:ascii="Arial" w:hAnsi="Arial" w:cs="Arial"/>
                <w:sz w:val="18"/>
                <w:szCs w:val="18"/>
                <w:lang w:val="en-US"/>
              </w:rPr>
            </w:pPr>
            <w:r>
              <w:rPr>
                <w:rFonts w:ascii="Arial" w:hAnsi="Arial" w:cs="Arial"/>
                <w:sz w:val="18"/>
                <w:szCs w:val="18"/>
                <w:lang w:val="en-US"/>
              </w:rPr>
              <w:t>Scenario 4</w:t>
            </w:r>
          </w:p>
        </w:tc>
      </w:tr>
    </w:tbl>
    <w:p w14:paraId="7B795795" w14:textId="7B171631" w:rsidR="005F31F3" w:rsidRDefault="00161F15" w:rsidP="00782D8F">
      <w:pPr>
        <w:jc w:val="both"/>
        <w:rPr>
          <w:lang w:val="en-US" w:eastAsia="zh-CN"/>
        </w:rPr>
      </w:pPr>
      <w:r>
        <w:rPr>
          <w:lang w:val="en-US" w:eastAsia="zh-CN"/>
        </w:rPr>
        <w:t>Based on the above analysis, the UE requirement for BWP switching delay could be specified as table 3.</w:t>
      </w:r>
    </w:p>
    <w:p w14:paraId="7B963947" w14:textId="3260130D" w:rsidR="00161F15" w:rsidRPr="00855762" w:rsidRDefault="00AC2973" w:rsidP="00782D8F">
      <w:pPr>
        <w:jc w:val="both"/>
        <w:rPr>
          <w:b/>
          <w:i/>
          <w:lang w:val="en-US" w:eastAsia="zh-CN"/>
        </w:rPr>
      </w:pPr>
      <w:r w:rsidRPr="00855762">
        <w:rPr>
          <w:b/>
          <w:i/>
          <w:lang w:val="en-US" w:eastAsia="zh-CN"/>
        </w:rPr>
        <w:t xml:space="preserve">Proposal 3: </w:t>
      </w:r>
      <w:r w:rsidR="00855762" w:rsidRPr="00855762">
        <w:rPr>
          <w:rFonts w:cs="v4.2.0"/>
          <w:b/>
          <w:i/>
        </w:rPr>
        <w:t xml:space="preserve">When the UE receives a DCI indicating BWP switching, the UE shall be ready to </w:t>
      </w:r>
      <w:r w:rsidR="00855762" w:rsidRPr="00855762">
        <w:rPr>
          <w:rFonts w:cs="v4.2.0"/>
          <w:b/>
          <w:i/>
          <w:snapToGrid w:val="0"/>
        </w:rPr>
        <w:t>receive signal on the target BWP</w:t>
      </w:r>
      <w:r w:rsidR="00855762" w:rsidRPr="00855762">
        <w:rPr>
          <w:rFonts w:cs="v4.2.0"/>
          <w:b/>
          <w:i/>
        </w:rPr>
        <w:t xml:space="preserve"> within K symbols from the end of the last symbol containing the DCI indication</w:t>
      </w:r>
      <w:r w:rsidR="00855762" w:rsidRPr="00855762">
        <w:rPr>
          <w:rFonts w:cs="v4.2.0"/>
          <w:b/>
          <w:i/>
          <w:lang w:eastAsia="zh-CN"/>
        </w:rPr>
        <w:t>. K is defined as in table 3.</w:t>
      </w:r>
      <w:bookmarkStart w:id="5" w:name="_GoBack"/>
      <w:bookmarkEnd w:id="5"/>
    </w:p>
    <w:p w14:paraId="427727A6" w14:textId="02A6FBFE" w:rsidR="00D05F59" w:rsidRPr="00A137D5" w:rsidRDefault="00004361" w:rsidP="00782D8F">
      <w:pPr>
        <w:pStyle w:val="Heading1"/>
        <w:ind w:left="567" w:hanging="567"/>
        <w:rPr>
          <w:sz w:val="32"/>
        </w:rPr>
      </w:pPr>
      <w:r w:rsidRPr="00A137D5">
        <w:rPr>
          <w:sz w:val="32"/>
        </w:rPr>
        <w:t>Conclusion</w:t>
      </w:r>
    </w:p>
    <w:p w14:paraId="4F4D294C" w14:textId="77777777" w:rsidR="001B1296" w:rsidRPr="0067369B" w:rsidRDefault="001B1296" w:rsidP="001B1296">
      <w:pPr>
        <w:jc w:val="both"/>
        <w:rPr>
          <w:lang w:val="en-US" w:eastAsia="zh-CN"/>
        </w:rPr>
      </w:pPr>
      <w:r>
        <w:rPr>
          <w:lang w:val="en-US" w:eastAsia="zh-CN"/>
        </w:rPr>
        <w:t>In this contribution we discuss the requirement for BWP switching delay for different SCS cases.</w:t>
      </w:r>
    </w:p>
    <w:p w14:paraId="6188FCC5" w14:textId="77777777" w:rsidR="001B1296" w:rsidRDefault="001B1296" w:rsidP="001B1296">
      <w:pPr>
        <w:jc w:val="both"/>
        <w:rPr>
          <w:b/>
          <w:i/>
          <w:lang w:eastAsia="zh-CN"/>
        </w:rPr>
      </w:pPr>
      <w:r w:rsidRPr="008F3FCA">
        <w:rPr>
          <w:b/>
          <w:i/>
          <w:lang w:eastAsia="zh-CN"/>
        </w:rPr>
        <w:t>Proposal 1: the BWP switching time delay requirement shall be designed also in order of symbol number rather than slot number.</w:t>
      </w:r>
    </w:p>
    <w:p w14:paraId="2D98535B" w14:textId="77777777" w:rsidR="001B1296" w:rsidRDefault="001B1296" w:rsidP="001B1296">
      <w:pPr>
        <w:jc w:val="both"/>
        <w:rPr>
          <w:b/>
          <w:i/>
          <w:lang w:eastAsia="zh-CN"/>
        </w:rPr>
      </w:pPr>
      <w:r w:rsidRPr="005F31F3">
        <w:rPr>
          <w:b/>
          <w:i/>
          <w:lang w:eastAsia="zh-CN"/>
        </w:rPr>
        <w:t>Proposal 2: RAN4 RRM shall specify the BWP switching delay requirement only.</w:t>
      </w:r>
    </w:p>
    <w:p w14:paraId="0D9893F4" w14:textId="77777777" w:rsidR="001B1296" w:rsidRPr="00855762" w:rsidRDefault="001B1296" w:rsidP="001B1296">
      <w:pPr>
        <w:jc w:val="both"/>
        <w:rPr>
          <w:b/>
          <w:i/>
          <w:lang w:val="en-US" w:eastAsia="zh-CN"/>
        </w:rPr>
      </w:pPr>
      <w:r w:rsidRPr="00855762">
        <w:rPr>
          <w:b/>
          <w:i/>
          <w:lang w:val="en-US" w:eastAsia="zh-CN"/>
        </w:rPr>
        <w:lastRenderedPageBreak/>
        <w:t xml:space="preserve">Proposal 3: </w:t>
      </w:r>
      <w:r w:rsidRPr="00855762">
        <w:rPr>
          <w:rFonts w:cs="v4.2.0"/>
          <w:b/>
          <w:i/>
        </w:rPr>
        <w:t xml:space="preserve">When the UE receives a DCI indicating BWP switching, the UE shall be ready to </w:t>
      </w:r>
      <w:r w:rsidRPr="00855762">
        <w:rPr>
          <w:rFonts w:cs="v4.2.0"/>
          <w:b/>
          <w:i/>
          <w:snapToGrid w:val="0"/>
        </w:rPr>
        <w:t>receive signal on the target BWP</w:t>
      </w:r>
      <w:r w:rsidRPr="00855762">
        <w:rPr>
          <w:rFonts w:cs="v4.2.0"/>
          <w:b/>
          <w:i/>
        </w:rPr>
        <w:t xml:space="preserve"> within K symbols from the end of the last symbol containing the DCI indication</w:t>
      </w:r>
      <w:r w:rsidRPr="00855762">
        <w:rPr>
          <w:rFonts w:cs="v4.2.0"/>
          <w:b/>
          <w:i/>
          <w:lang w:eastAsia="zh-CN"/>
        </w:rPr>
        <w:t>. K is defined as in table 3.</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0EC1F934" w14:textId="491C9E2F" w:rsidR="005D767C" w:rsidRPr="009D7AA9" w:rsidRDefault="0032788C" w:rsidP="0032788C">
      <w:pPr>
        <w:rPr>
          <w:lang w:eastAsia="zh-CN"/>
        </w:rPr>
      </w:pPr>
      <w:r>
        <w:t xml:space="preserve">[1] </w:t>
      </w:r>
      <w:r w:rsidR="00782D8F" w:rsidRPr="00782D8F">
        <w:t>R4-1803283</w:t>
      </w:r>
      <w:r>
        <w:t>, “</w:t>
      </w:r>
      <w:r w:rsidR="00782D8F" w:rsidRPr="00782D8F">
        <w:t>LS on BWP switching delay</w:t>
      </w:r>
      <w:r>
        <w:t xml:space="preserve">”, </w:t>
      </w:r>
      <w:r w:rsidR="00782D8F">
        <w:t>Intel</w:t>
      </w:r>
      <w:r w:rsidR="00756B86">
        <w:t>, RAN</w:t>
      </w:r>
      <w:r w:rsidR="00782D8F">
        <w:t>4</w:t>
      </w:r>
      <w:r w:rsidR="00756B86">
        <w:rPr>
          <w:rFonts w:hint="eastAsia"/>
          <w:lang w:eastAsia="zh-CN"/>
        </w:rPr>
        <w:t>#</w:t>
      </w:r>
      <w:r w:rsidR="00782D8F">
        <w:rPr>
          <w:lang w:eastAsia="zh-CN"/>
        </w:rPr>
        <w:t>86</w:t>
      </w:r>
    </w:p>
    <w:sectPr w:rsidR="005D767C" w:rsidRPr="009D7AA9" w:rsidSect="00C775EF">
      <w:headerReference w:type="even" r:id="rId24"/>
      <w:footerReference w:type="even" r:id="rId25"/>
      <w:footerReference w:type="default" r:id="rId2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0F44F" w14:textId="77777777" w:rsidR="005D7B12" w:rsidRDefault="005D7B12">
      <w:r>
        <w:separator/>
      </w:r>
    </w:p>
  </w:endnote>
  <w:endnote w:type="continuationSeparator" w:id="0">
    <w:p w14:paraId="583594C3" w14:textId="77777777" w:rsidR="005D7B12" w:rsidRDefault="005D7B12">
      <w:r>
        <w:continuationSeparator/>
      </w:r>
    </w:p>
  </w:endnote>
  <w:endnote w:type="continuationNotice" w:id="1">
    <w:p w14:paraId="75C9935C" w14:textId="77777777" w:rsidR="005D7B12" w:rsidRDefault="005D7B1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45094" w:rsidRDefault="0094509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45094" w:rsidRDefault="0094509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45094" w:rsidRPr="00DB1239" w:rsidRDefault="0094509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A542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542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C10A2" w14:textId="77777777" w:rsidR="005D7B12" w:rsidRDefault="005D7B12">
      <w:r>
        <w:separator/>
      </w:r>
    </w:p>
  </w:footnote>
  <w:footnote w:type="continuationSeparator" w:id="0">
    <w:p w14:paraId="4206B36D" w14:textId="77777777" w:rsidR="005D7B12" w:rsidRDefault="005D7B12">
      <w:r>
        <w:continuationSeparator/>
      </w:r>
    </w:p>
  </w:footnote>
  <w:footnote w:type="continuationNotice" w:id="1">
    <w:p w14:paraId="2093F2EE" w14:textId="77777777" w:rsidR="005D7B12" w:rsidRDefault="005D7B1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45094" w:rsidRDefault="009450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tentative="1">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6"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E2086C"/>
    <w:multiLevelType w:val="hybridMultilevel"/>
    <w:tmpl w:val="68B44DCE"/>
    <w:lvl w:ilvl="0" w:tplc="9292710C">
      <w:numFmt w:val="bullet"/>
      <w:lvlText w:val=""/>
      <w:lvlJc w:val="left"/>
      <w:pPr>
        <w:ind w:left="720" w:hanging="360"/>
      </w:pPr>
      <w:rPr>
        <w:rFonts w:ascii="Wingdings" w:eastAsia="SimSun"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20"/>
  </w:num>
  <w:num w:numId="4">
    <w:abstractNumId w:val="2"/>
  </w:num>
  <w:num w:numId="5">
    <w:abstractNumId w:val="38"/>
  </w:num>
  <w:num w:numId="6">
    <w:abstractNumId w:val="7"/>
  </w:num>
  <w:num w:numId="7">
    <w:abstractNumId w:val="23"/>
  </w:num>
  <w:num w:numId="8">
    <w:abstractNumId w:val="25"/>
  </w:num>
  <w:num w:numId="9">
    <w:abstractNumId w:val="31"/>
  </w:num>
  <w:num w:numId="10">
    <w:abstractNumId w:val="29"/>
  </w:num>
  <w:num w:numId="11">
    <w:abstractNumId w:val="9"/>
  </w:num>
  <w:num w:numId="12">
    <w:abstractNumId w:val="13"/>
  </w:num>
  <w:num w:numId="13">
    <w:abstractNumId w:val="16"/>
  </w:num>
  <w:num w:numId="14">
    <w:abstractNumId w:val="39"/>
  </w:num>
  <w:num w:numId="15">
    <w:abstractNumId w:val="24"/>
  </w:num>
  <w:num w:numId="16">
    <w:abstractNumId w:val="26"/>
  </w:num>
  <w:num w:numId="17">
    <w:abstractNumId w:val="37"/>
  </w:num>
  <w:num w:numId="18">
    <w:abstractNumId w:val="6"/>
  </w:num>
  <w:num w:numId="19">
    <w:abstractNumId w:val="22"/>
  </w:num>
  <w:num w:numId="20">
    <w:abstractNumId w:val="18"/>
  </w:num>
  <w:num w:numId="21">
    <w:abstractNumId w:val="14"/>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8"/>
  </w:num>
  <w:num w:numId="24">
    <w:abstractNumId w:val="11"/>
  </w:num>
  <w:num w:numId="25">
    <w:abstractNumId w:val="27"/>
  </w:num>
  <w:num w:numId="26">
    <w:abstractNumId w:val="21"/>
  </w:num>
  <w:num w:numId="27">
    <w:abstractNumId w:val="34"/>
  </w:num>
  <w:num w:numId="28">
    <w:abstractNumId w:val="17"/>
  </w:num>
  <w:num w:numId="29">
    <w:abstractNumId w:val="3"/>
  </w:num>
  <w:num w:numId="30">
    <w:abstractNumId w:val="32"/>
  </w:num>
  <w:num w:numId="31">
    <w:abstractNumId w:val="8"/>
  </w:num>
  <w:num w:numId="32">
    <w:abstractNumId w:val="18"/>
  </w:num>
  <w:num w:numId="33">
    <w:abstractNumId w:val="15"/>
  </w:num>
  <w:num w:numId="34">
    <w:abstractNumId w:val="30"/>
  </w:num>
  <w:num w:numId="35">
    <w:abstractNumId w:val="10"/>
  </w:num>
  <w:num w:numId="36">
    <w:abstractNumId w:val="12"/>
  </w:num>
  <w:num w:numId="37">
    <w:abstractNumId w:val="33"/>
  </w:num>
  <w:num w:numId="38">
    <w:abstractNumId w:val="28"/>
  </w:num>
  <w:num w:numId="39">
    <w:abstractNumId w:val="18"/>
  </w:num>
  <w:num w:numId="40">
    <w:abstractNumId w:val="5"/>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35"/>
  </w:num>
  <w:num w:numId="43">
    <w:abstractNumId w:val="18"/>
  </w:num>
  <w:num w:numId="4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2E8"/>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40B"/>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414"/>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9B7"/>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B7C"/>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B11"/>
    <w:rsid w:val="00BD0FC4"/>
    <w:rsid w:val="00BD140B"/>
    <w:rsid w:val="00BD14A5"/>
    <w:rsid w:val="00BD16D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44"/>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A3F8311-7085-499C-A658-D0157750B2D9}">
  <ds:schemaRefs>
    <ds:schemaRef ds:uri="http://schemas.openxmlformats.org/officeDocument/2006/bibliography"/>
  </ds:schemaRefs>
</ds:datastoreItem>
</file>

<file path=customXml/itemProps5.xml><?xml version="1.0" encoding="utf-8"?>
<ds:datastoreItem xmlns:ds="http://schemas.openxmlformats.org/officeDocument/2006/customXml" ds:itemID="{66AF8C47-F420-4D86-8616-CC0857233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1341</Words>
  <Characters>6443</Characters>
  <Application>Microsoft Office Word</Application>
  <DocSecurity>0</DocSecurity>
  <Lines>271</Lines>
  <Paragraphs>195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4</cp:revision>
  <cp:lastPrinted>2016-03-30T01:01:00Z</cp:lastPrinted>
  <dcterms:created xsi:type="dcterms:W3CDTF">2018-04-04T04:32:00Z</dcterms:created>
  <dcterms:modified xsi:type="dcterms:W3CDTF">2018-04-06T20:04:00Z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4ec0281a-cfc4-415e-b1b1-df8169a325c2</vt:lpwstr>
  </property>
  <property fmtid="{D5CDD505-2E9C-101B-9397-08002B2CF9AE}" pid="4" name="CTP_TimeStamp">
    <vt:lpwstr>2018-04-06 20:04:58Z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